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0"/>
        <w:spacing w:line="360" w:lineRule="auto"/>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sz w:val="44"/>
          <w:szCs w:val="44"/>
          <w:highlight w:val="none"/>
          <w:lang w:val="en-US" w:eastAsia="zh-CN" w:bidi="ar-SA"/>
        </w:rPr>
        <w:t>幸福99金钱包43号理财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szCs w:val="24"/>
          <w:highlight w:val="none"/>
        </w:rPr>
      </w:pPr>
      <w:r>
        <w:rPr>
          <w:rFonts w:hint="eastAsia" w:ascii="宋体" w:hAnsi="宋体" w:cs="宋体"/>
          <w:color w:val="000000"/>
          <w:sz w:val="24"/>
          <w:szCs w:val="24"/>
          <w:highlight w:val="none"/>
        </w:rPr>
        <w:t>备案编号:</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Z7002225000108</w:t>
      </w:r>
      <w:r>
        <w:rPr>
          <w:rFonts w:hint="eastAsia" w:ascii="宋体" w:hAnsi="宋体" w:cs="宋体"/>
          <w:bCs/>
          <w:color w:val="000000"/>
          <w:sz w:val="24"/>
          <w:szCs w:val="24"/>
          <w:highlight w:val="none"/>
        </w:rPr>
        <w:t>〗</w:t>
      </w:r>
    </w:p>
    <w:p>
      <w:pPr>
        <w:spacing w:line="360" w:lineRule="auto"/>
        <w:jc w:val="center"/>
        <w:rPr>
          <w:rFonts w:hint="eastAsia" w:ascii="宋体" w:hAnsi="宋体" w:cs="宋体"/>
          <w:bCs/>
          <w:sz w:val="24"/>
          <w:szCs w:val="24"/>
          <w:highlight w:val="none"/>
        </w:rPr>
      </w:pPr>
    </w:p>
    <w:p>
      <w:pPr>
        <w:numPr>
          <w:ilvl w:val="0"/>
          <w:numId w:val="1"/>
        </w:numPr>
        <w:spacing w:line="360" w:lineRule="auto"/>
        <w:ind w:firstLine="482" w:firstLineChars="200"/>
        <w:jc w:val="left"/>
        <w:outlineLvl w:val="1"/>
        <w:rPr>
          <w:rFonts w:ascii="宋体" w:hAnsi="宋体" w:cs="宋体"/>
          <w:b/>
          <w:sz w:val="24"/>
          <w:szCs w:val="24"/>
          <w:highlight w:val="none"/>
        </w:rPr>
      </w:pPr>
      <w:r>
        <w:rPr>
          <w:rFonts w:hint="eastAsia" w:ascii="宋体" w:hAnsi="宋体" w:cs="宋体"/>
          <w:b/>
          <w:color w:val="000000"/>
          <w:sz w:val="24"/>
          <w:szCs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szCs w:val="24"/>
          <w:highlight w:val="none"/>
        </w:rPr>
      </w:pPr>
      <w:r>
        <w:rPr>
          <w:rFonts w:hint="eastAsia" w:ascii="宋体" w:hAnsi="宋体" w:cs="宋体"/>
          <w:b/>
          <w:color w:val="000000"/>
          <w:sz w:val="24"/>
          <w:szCs w:val="24"/>
          <w:highlight w:val="none"/>
        </w:rPr>
        <w:t>本理财计划是非保本净值型产品。管理人对本理财计划的本金和收益不提供保证承诺。</w:t>
      </w:r>
      <w:r>
        <w:rPr>
          <w:rFonts w:hint="eastAsia" w:ascii="宋体" w:hAnsi="宋体" w:cs="宋体"/>
          <w:bCs/>
          <w:color w:val="000000"/>
          <w:sz w:val="24"/>
          <w:szCs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风险揭示书》《投资者权益须知》《理财计划投资协议书》《理财计划销售协议书》，将共同构成投资者与管理人之间的理财计划销售文件。</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在本理财计划存续期内，如因监管政策或法律法规发生变化，在不损害投资者利益的前提下，管理人有权对因上述变化导致的本理财计划说明书条款变化进行修订。</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管理人有权依法对本理财计划产品说明书进行解释。</w:t>
      </w:r>
    </w:p>
    <w:p>
      <w:pPr>
        <w:spacing w:line="360" w:lineRule="auto"/>
        <w:jc w:val="left"/>
        <w:rPr>
          <w:rFonts w:hint="eastAsia" w:ascii="宋体" w:hAnsi="宋体" w:cs="宋体"/>
          <w:bCs/>
          <w:highlight w:val="none"/>
        </w:rPr>
      </w:pPr>
    </w:p>
    <w:p>
      <w:pPr>
        <w:numPr>
          <w:ilvl w:val="0"/>
          <w:numId w:val="3"/>
        </w:numPr>
        <w:spacing w:line="360" w:lineRule="auto"/>
        <w:ind w:firstLine="422" w:firstLineChars="200"/>
        <w:jc w:val="left"/>
        <w:outlineLvl w:val="1"/>
        <w:rPr>
          <w:rFonts w:ascii="宋体" w:hAnsi="宋体" w:cs="宋体"/>
          <w:b/>
          <w:highlight w:val="none"/>
        </w:rPr>
      </w:pPr>
      <w:r>
        <w:rPr>
          <w:rFonts w:hint="eastAsia" w:ascii="宋体" w:hAnsi="宋体" w:cs="宋体"/>
          <w:b/>
          <w:color w:val="000000"/>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指杭银理财有限责任公司，主要从事面向不特定社会公众公开发行理财产品、面向合格投资者非公开发行理财产品、理财顾问和咨询服务等相关业务。杭银理财有限责任公司简称杭银理财，官网网站为https://</w:t>
      </w:r>
      <w:r>
        <w:fldChar w:fldCharType="begin"/>
      </w:r>
      <w:r>
        <w:instrText xml:space="preserve"> HYPERLINK "http://www.hzbank.com.cn" </w:instrText>
      </w:r>
      <w:r>
        <w:fldChar w:fldCharType="separate"/>
      </w:r>
      <w:r>
        <w:rPr>
          <w:rFonts w:hint="eastAsia" w:ascii="宋体" w:hAnsi="宋体" w:cs="宋体"/>
          <w:bCs/>
          <w:color w:val="000000"/>
          <w:kern w:val="2"/>
          <w:highlight w:val="none"/>
        </w:rPr>
        <w:t>www.hzbankwealth.com.cn</w:t>
      </w:r>
      <w:r>
        <w:rPr>
          <w:rFonts w:hint="eastAsia" w:ascii="宋体" w:hAnsi="宋体" w:cs="宋体"/>
          <w:bCs/>
          <w:color w:val="000000"/>
          <w:kern w:val="2"/>
          <w:highlight w:val="none"/>
        </w:rPr>
        <w:fldChar w:fldCharType="end"/>
      </w:r>
      <w:r>
        <w:rPr>
          <w:rFonts w:hint="eastAsia" w:ascii="宋体" w:hAnsi="宋体" w:cs="宋体"/>
          <w:bCs/>
          <w:color w:val="000000"/>
          <w:kern w:val="2"/>
          <w:highlight w:val="none"/>
        </w:rPr>
        <w:t>，客服电话400-8950-999。</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rPr>
        <w:t>www.hzbank.com.cn</w:t>
      </w:r>
      <w:r>
        <w:rPr>
          <w:rFonts w:hint="eastAsia" w:ascii="宋体" w:hAnsi="宋体" w:cs="宋体"/>
          <w:bCs/>
          <w:color w:val="000000"/>
          <w:kern w:val="2"/>
          <w:highlight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国家金融监督管理总局、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幸福99金钱包43号理财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幸福99金钱包43号理财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幸福99金钱包43号理财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幸福99金钱包43号理财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理财计划销售协议书：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幸福99金钱包43号理财</w:t>
      </w:r>
      <w:r>
        <w:rPr>
          <w:rFonts w:hint="eastAsia" w:ascii="宋体" w:hAnsi="宋体" w:cs="宋体"/>
          <w:bCs/>
          <w:color w:val="000000"/>
          <w:kern w:val="2"/>
          <w:highlight w:val="none"/>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理财计划合同/销售文件：</w:t>
      </w:r>
      <w:r>
        <w:rPr>
          <w:rFonts w:hint="eastAsia" w:ascii="宋体" w:hAnsi="宋体" w:cs="宋体"/>
          <w:bCs/>
          <w:color w:val="000000"/>
          <w:kern w:val="2"/>
          <w:highlight w:val="none"/>
        </w:rPr>
        <w:t>指《理财计划风险揭示书》《理财计划产品说明书》《投资者权益须知》《理财计划投资协议书》《理财计划销售协议书》五个部分。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幸福99金钱包43号理财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指理财计划成立后，理财计划不接受投资者申购赎回的时间。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指管理人确认投资者申购、赎回交易是否有效的日期。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指理财计划赎回开放期内，投资者向管理人进行理财计划份额卖出的行为。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销售服务费、托管人收取的托管费、交易费用、执行费用等相关费用，具体以实际发生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其他费用：</w:t>
      </w:r>
      <w:r>
        <w:rPr>
          <w:rFonts w:hint="eastAsia" w:ascii="宋体" w:hAnsi="宋体" w:cs="宋体"/>
          <w:bCs/>
          <w:highlight w:val="none"/>
        </w:rPr>
        <w:t>指除理财计划费用以外，理财计划涉及的其他相关费用，包括但不限于认购费、申购费、赎回费、投顾费等，具体以本说明书第八条约定为准。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流</w:t>
      </w:r>
      <w:r>
        <w:rPr>
          <w:rFonts w:hint="eastAsia"/>
          <w:b/>
          <w:highlight w:val="none"/>
        </w:rPr>
        <w:t>动性受限资产：</w:t>
      </w:r>
      <w:r>
        <w:rPr>
          <w:rFonts w:hint="eastAsia"/>
          <w:highlight w:val="none"/>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rPr>
        <w:t>7个工作日可变现资产：</w:t>
      </w:r>
      <w:r>
        <w:rPr>
          <w:rFonts w:hint="eastAsia"/>
          <w:highlight w:val="none"/>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摆动定价机制：</w:t>
      </w:r>
      <w:r>
        <w:rPr>
          <w:rFonts w:hint="eastAsia" w:ascii="宋体" w:hAnsi="宋体" w:cs="宋体"/>
          <w:bCs/>
          <w:color w:val="000000"/>
          <w:kern w:val="2"/>
          <w:highlight w:val="none"/>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短期赎回费机制：</w:t>
      </w:r>
      <w:r>
        <w:rPr>
          <w:rFonts w:hint="eastAsia" w:ascii="宋体" w:hAnsi="宋体" w:cs="宋体"/>
          <w:bCs/>
          <w:color w:val="000000"/>
          <w:kern w:val="2"/>
          <w:highlight w:val="none"/>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R1</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谨慎型、稳健型、平衡型、进取型、激进型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激进型</w:t>
            </w:r>
          </w:p>
        </w:tc>
      </w:tr>
    </w:tbl>
    <w:p>
      <w:pPr>
        <w:pStyle w:val="20"/>
        <w:adjustRightInd/>
        <w:spacing w:line="360" w:lineRule="auto"/>
        <w:ind w:firstLine="480" w:firstLineChars="200"/>
        <w:rPr>
          <w:rFonts w:ascii="宋体" w:hAnsi="宋体" w:cs="宋体"/>
          <w:bCs/>
          <w:color w:val="auto"/>
          <w:kern w:val="2"/>
          <w:highlight w:val="none"/>
        </w:rPr>
      </w:pPr>
      <w:r>
        <w:rPr>
          <w:rFonts w:hint="eastAsia" w:ascii="宋体" w:hAnsi="宋体" w:cs="宋体"/>
          <w:bCs/>
          <w:color w:val="000000"/>
          <w:kern w:val="2"/>
          <w:highlight w:val="none"/>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幸福99金钱包43号理财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金钱包43号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JQB2543</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Z7002225000108</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〖谨慎型、稳健型、平衡型、进取型、激进型〗的〖个人、机构投资者〗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sz w:val="21"/>
                <w:szCs w:val="21"/>
                <w:highlight w:val="none"/>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A份额（销售代码〖JQB2543A〗）：普通个人投资者和机构客户。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B份额（销售代码〖JQB2543B〗）：普通个人投资者和机构客户。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C份额（销售代码〖JQB2543C〗）：普通个人投资者和机构客户。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D份额（销售代码〖JQB2543D〗）：普通个人投资者和机构客户。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E份额（销售代码〖JQB2543E〗）：普通个人投资者和机构客户。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F份额（销售代码〖JQB2543F〗）：普通个人投资者和机构客户。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G份额（销售代码〖JQB2543G〗）：普通个人投资者和机构客户。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S份额</w:t>
            </w:r>
            <w:r>
              <w:rPr>
                <w:rFonts w:hint="eastAsia" w:ascii="宋体" w:hAnsi="宋体" w:eastAsia="宋体" w:cs="宋体"/>
                <w:sz w:val="21"/>
                <w:szCs w:val="21"/>
              </w:rPr>
              <w:t>（销售名称：金钱包24时私银尊享</w:t>
            </w:r>
            <w:r>
              <w:rPr>
                <w:rFonts w:hint="eastAsia" w:ascii="宋体" w:hAnsi="宋体" w:eastAsia="宋体" w:cs="宋体"/>
                <w:sz w:val="21"/>
                <w:szCs w:val="21"/>
                <w:lang w:eastAsia="zh-CN"/>
              </w:rPr>
              <w:t>43</w:t>
            </w:r>
            <w:r>
              <w:rPr>
                <w:rFonts w:hint="eastAsia" w:ascii="宋体" w:hAnsi="宋体" w:eastAsia="宋体" w:cs="宋体"/>
                <w:sz w:val="21"/>
                <w:szCs w:val="21"/>
              </w:rPr>
              <w:t>号夜市理财S款）</w:t>
            </w:r>
            <w:r>
              <w:rPr>
                <w:rFonts w:ascii="宋体" w:hAnsi="宋体" w:eastAsia="宋体" w:cs="宋体"/>
                <w:b w:val="0"/>
                <w:i w:val="0"/>
                <w:caps w:val="0"/>
                <w:strike w:val="0"/>
                <w:dstrike w:val="0"/>
                <w:shadow w:val="0"/>
                <w:emboss w:val="0"/>
                <w:imprint w:val="0"/>
                <w:color w:val="000000"/>
                <w:kern w:val="2"/>
                <w:position w:val="-1"/>
                <w:sz w:val="21"/>
                <w:u w:val="none"/>
                <w:vertAlign w:val="baseline"/>
              </w:rPr>
              <w:t>（销售代码〖JQB2543S〗）：普通个人投资者和机构客户。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〖现金管理〗类，非保本浮动收益型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cs="宋体"/>
                <w:color w:val="000000"/>
                <w:sz w:val="21"/>
                <w:szCs w:val="21"/>
                <w:highlight w:val="none"/>
              </w:rPr>
            </w:pPr>
            <w:r>
              <w:rPr>
                <w:rFonts w:hint="eastAsia" w:ascii="宋体" w:hAnsi="宋体" w:cs="宋体"/>
                <w:color w:val="000000"/>
                <w:sz w:val="21"/>
                <w:szCs w:val="21"/>
                <w:highlight w:val="none"/>
              </w:rPr>
              <w:t>可通过杭银理财直销渠道和代理销售机构的〖营业网点、网上银行、手机银行〗等渠道购买，通过代理销售机构购买的，具体销售渠道以代理销售机构披露为准。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〖A份额〗起点〖0.01〗元整，超过认购/申购起点部分，应为〖</w:t>
            </w:r>
            <w:r>
              <w:rPr>
                <w:rFonts w:hint="eastAsia" w:ascii="宋体" w:hAnsi="宋体" w:eastAsia="宋体" w:cs="宋体"/>
                <w:kern w:val="2"/>
                <w:sz w:val="21"/>
                <w:szCs w:val="21"/>
                <w:highlight w:val="none"/>
                <w:lang w:val="en-US" w:eastAsia="zh-CN" w:bidi="ar-SA"/>
              </w:rPr>
              <w:t>0.01</w:t>
            </w:r>
            <w:r>
              <w:rPr>
                <w:rFonts w:hint="eastAsia" w:ascii="宋体" w:hAnsi="宋体" w:eastAsia="宋体" w:cs="宋体"/>
                <w:color w:val="000000"/>
                <w:kern w:val="2"/>
                <w:sz w:val="21"/>
                <w:szCs w:val="21"/>
                <w:highlight w:val="none"/>
                <w:lang w:val="en-US" w:eastAsia="zh-CN" w:bidi="ar-SA"/>
              </w:rPr>
              <w:t>〗元的整数倍。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〖B份额〗起点〖0.01〗元整，超过认购/申购起点部分，应为〖</w:t>
            </w:r>
            <w:r>
              <w:rPr>
                <w:rFonts w:hint="eastAsia" w:ascii="宋体" w:hAnsi="宋体" w:eastAsia="宋体" w:cs="宋体"/>
                <w:kern w:val="2"/>
                <w:sz w:val="21"/>
                <w:szCs w:val="21"/>
                <w:highlight w:val="none"/>
                <w:lang w:val="en-US" w:eastAsia="zh-CN" w:bidi="ar-SA"/>
              </w:rPr>
              <w:t>0.01</w:t>
            </w:r>
            <w:r>
              <w:rPr>
                <w:rFonts w:hint="eastAsia" w:ascii="宋体" w:hAnsi="宋体" w:eastAsia="宋体" w:cs="宋体"/>
                <w:color w:val="000000"/>
                <w:kern w:val="2"/>
                <w:sz w:val="21"/>
                <w:szCs w:val="21"/>
                <w:highlight w:val="none"/>
                <w:lang w:val="en-US" w:eastAsia="zh-CN" w:bidi="ar-SA"/>
              </w:rPr>
              <w:t>〗元的整数倍。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〖C份额〗起点〖0.01〗元整，超过认购/申购起点部分，应为〖</w:t>
            </w:r>
            <w:r>
              <w:rPr>
                <w:rFonts w:hint="eastAsia" w:ascii="宋体" w:hAnsi="宋体" w:eastAsia="宋体" w:cs="宋体"/>
                <w:kern w:val="2"/>
                <w:sz w:val="21"/>
                <w:szCs w:val="21"/>
                <w:highlight w:val="none"/>
                <w:lang w:val="en-US" w:eastAsia="zh-CN" w:bidi="ar-SA"/>
              </w:rPr>
              <w:t>0.01</w:t>
            </w:r>
            <w:r>
              <w:rPr>
                <w:rFonts w:hint="eastAsia" w:ascii="宋体" w:hAnsi="宋体" w:eastAsia="宋体" w:cs="宋体"/>
                <w:color w:val="000000"/>
                <w:kern w:val="2"/>
                <w:sz w:val="21"/>
                <w:szCs w:val="21"/>
                <w:highlight w:val="none"/>
                <w:lang w:val="en-US" w:eastAsia="zh-CN" w:bidi="ar-SA"/>
              </w:rPr>
              <w:t>〗元的整数倍。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〖D份额〗起点〖0.01〗元整，超过认购/申购起点部分，应为〖</w:t>
            </w:r>
            <w:r>
              <w:rPr>
                <w:rFonts w:hint="eastAsia" w:ascii="宋体" w:hAnsi="宋体" w:eastAsia="宋体" w:cs="宋体"/>
                <w:kern w:val="2"/>
                <w:sz w:val="21"/>
                <w:szCs w:val="21"/>
                <w:highlight w:val="none"/>
                <w:lang w:val="en-US" w:eastAsia="zh-CN" w:bidi="ar-SA"/>
              </w:rPr>
              <w:t>0.01</w:t>
            </w:r>
            <w:r>
              <w:rPr>
                <w:rFonts w:hint="eastAsia" w:ascii="宋体" w:hAnsi="宋体" w:eastAsia="宋体" w:cs="宋体"/>
                <w:color w:val="000000"/>
                <w:kern w:val="2"/>
                <w:sz w:val="21"/>
                <w:szCs w:val="21"/>
                <w:highlight w:val="none"/>
                <w:lang w:val="en-US" w:eastAsia="zh-CN" w:bidi="ar-SA"/>
              </w:rPr>
              <w:t>〗元的整数倍。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〖E份额〗起点〖0.01〗元整，超过认购/申购起点部分，应为〖</w:t>
            </w:r>
            <w:r>
              <w:rPr>
                <w:rFonts w:hint="eastAsia" w:ascii="宋体" w:hAnsi="宋体" w:eastAsia="宋体" w:cs="宋体"/>
                <w:kern w:val="2"/>
                <w:sz w:val="21"/>
                <w:szCs w:val="21"/>
                <w:highlight w:val="none"/>
                <w:lang w:val="en-US" w:eastAsia="zh-CN" w:bidi="ar-SA"/>
              </w:rPr>
              <w:t>0.01</w:t>
            </w:r>
            <w:r>
              <w:rPr>
                <w:rFonts w:hint="eastAsia" w:ascii="宋体" w:hAnsi="宋体" w:eastAsia="宋体" w:cs="宋体"/>
                <w:color w:val="000000"/>
                <w:kern w:val="2"/>
                <w:sz w:val="21"/>
                <w:szCs w:val="21"/>
                <w:highlight w:val="none"/>
                <w:lang w:val="en-US" w:eastAsia="zh-CN" w:bidi="ar-SA"/>
              </w:rPr>
              <w:t>〗元的整数倍。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〖F份额〗起点〖0.01〗元整，超过认购/申购起点部分，应为〖</w:t>
            </w:r>
            <w:r>
              <w:rPr>
                <w:rFonts w:hint="eastAsia" w:ascii="宋体" w:hAnsi="宋体" w:eastAsia="宋体" w:cs="宋体"/>
                <w:kern w:val="2"/>
                <w:sz w:val="21"/>
                <w:szCs w:val="21"/>
                <w:highlight w:val="none"/>
                <w:lang w:val="en-US" w:eastAsia="zh-CN" w:bidi="ar-SA"/>
              </w:rPr>
              <w:t>0.01</w:t>
            </w:r>
            <w:r>
              <w:rPr>
                <w:rFonts w:hint="eastAsia" w:ascii="宋体" w:hAnsi="宋体" w:eastAsia="宋体" w:cs="宋体"/>
                <w:color w:val="000000"/>
                <w:kern w:val="2"/>
                <w:sz w:val="21"/>
                <w:szCs w:val="21"/>
                <w:highlight w:val="none"/>
                <w:lang w:val="en-US" w:eastAsia="zh-CN" w:bidi="ar-SA"/>
              </w:rPr>
              <w:t>〗元的整数倍。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〖G份额〗起点〖0.01〗元整，超过认购/申购起点部分，应为〖</w:t>
            </w:r>
            <w:r>
              <w:rPr>
                <w:rFonts w:hint="eastAsia" w:ascii="宋体" w:hAnsi="宋体" w:eastAsia="宋体" w:cs="宋体"/>
                <w:kern w:val="2"/>
                <w:sz w:val="21"/>
                <w:szCs w:val="21"/>
                <w:highlight w:val="none"/>
                <w:lang w:val="en-US" w:eastAsia="zh-CN" w:bidi="ar-SA"/>
              </w:rPr>
              <w:t>0.01</w:t>
            </w:r>
            <w:r>
              <w:rPr>
                <w:rFonts w:hint="eastAsia" w:ascii="宋体" w:hAnsi="宋体" w:eastAsia="宋体" w:cs="宋体"/>
                <w:color w:val="000000"/>
                <w:kern w:val="2"/>
                <w:sz w:val="21"/>
                <w:szCs w:val="21"/>
                <w:highlight w:val="none"/>
                <w:lang w:val="en-US" w:eastAsia="zh-CN" w:bidi="ar-SA"/>
              </w:rPr>
              <w:t>〗元的整数倍。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〖S份额〗起点〖0.01〗元整，超过认购/申购起点部分，应为〖</w:t>
            </w:r>
            <w:r>
              <w:rPr>
                <w:rFonts w:hint="eastAsia" w:ascii="宋体" w:hAnsi="宋体" w:eastAsia="宋体" w:cs="宋体"/>
                <w:kern w:val="2"/>
                <w:sz w:val="21"/>
                <w:szCs w:val="21"/>
                <w:highlight w:val="none"/>
                <w:lang w:val="en-US" w:eastAsia="zh-CN" w:bidi="ar-SA"/>
              </w:rPr>
              <w:t>0.01</w:t>
            </w:r>
            <w:r>
              <w:rPr>
                <w:rFonts w:hint="eastAsia" w:ascii="宋体" w:hAnsi="宋体" w:eastAsia="宋体" w:cs="宋体"/>
                <w:color w:val="000000"/>
                <w:kern w:val="2"/>
                <w:sz w:val="21"/>
                <w:szCs w:val="21"/>
                <w:highlight w:val="none"/>
                <w:lang w:val="en-US" w:eastAsia="zh-CN" w:bidi="ar-SA"/>
              </w:rPr>
              <w:t>〗元的整数倍。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kern w:val="0"/>
                <w:sz w:val="21"/>
                <w:szCs w:val="21"/>
                <w:highlight w:val="none"/>
              </w:rPr>
            </w:pPr>
            <w:r>
              <w:rPr>
                <w:rFonts w:hint="eastAsia" w:ascii="宋体" w:hAnsi="宋体" w:cs="宋体"/>
                <w:color w:val="000000"/>
                <w:kern w:val="0"/>
                <w:sz w:val="21"/>
                <w:szCs w:val="21"/>
                <w:highlight w:val="none"/>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1</w:t>
            </w:r>
            <w:r>
              <w:rPr>
                <w:rFonts w:hint="eastAsia" w:ascii="宋体" w:hAnsi="宋体" w:cs="宋体"/>
                <w:color w:val="000000"/>
                <w:sz w:val="21"/>
                <w:szCs w:val="21"/>
                <w:highlight w:val="none"/>
                <w:lang w:eastAsia="zh-CN"/>
              </w:rPr>
              <w:t>000</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开放日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理财计划封闭期（如有）结束后每个〖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〗为申购赎回开放日。</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在理财计划存续期内，管理人有权根据市场情况变化暂停申购和赎回申请，具体以管理人公告为准。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1.本理财计划在每个开放日均可进行申购和赎回。其中，工作时间之内的申购和赎回申请将在确认日，即开放日后的第〖1〗个〖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〗。工作时间之外的申购和赎回申请，视同为下一工作时间内的预申请。</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2.工作时间为每个〖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SA"/>
              </w:rPr>
              <w:t>0</w:t>
            </w:r>
            <w:r>
              <w:rPr>
                <w:rFonts w:hint="eastAsia" w:ascii="宋体" w:hAnsi="宋体" w:cs="宋体"/>
                <w:color w:val="000000"/>
                <w:sz w:val="21"/>
                <w:szCs w:val="21"/>
                <w:highlight w:val="none"/>
              </w:rPr>
              <w:t>:00〗至〖</w:t>
            </w:r>
            <w:r>
              <w:rPr>
                <w:rFonts w:hint="eastAsia" w:ascii="宋体" w:hAnsi="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:00〗</w:t>
            </w:r>
            <w:r>
              <w:rPr>
                <w:rFonts w:hint="eastAsia" w:ascii="宋体" w:hAnsi="宋体" w:eastAsia="宋体" w:cs="宋体"/>
                <w:color w:val="000000"/>
                <w:kern w:val="2"/>
                <w:sz w:val="21"/>
                <w:szCs w:val="21"/>
                <w:lang w:val="en-US" w:eastAsia="zh-CN" w:bidi="ar"/>
              </w:rPr>
              <w:t>(不含)</w:t>
            </w:r>
            <w:r>
              <w:rPr>
                <w:rFonts w:hint="eastAsia" w:ascii="宋体" w:hAnsi="宋体" w:cs="宋体"/>
                <w:bCs/>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3.认购/开放日工作时间内提交的交易申请，在认购期结束日/开放日</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:00〗</w:t>
            </w:r>
            <w:r>
              <w:rPr>
                <w:rFonts w:hint="eastAsia" w:ascii="宋体" w:hAnsi="宋体" w:cs="宋体"/>
                <w:color w:val="000000"/>
                <w:kern w:val="0"/>
                <w:sz w:val="21"/>
                <w:szCs w:val="21"/>
                <w:highlight w:val="none"/>
              </w:rPr>
              <w:t>之前可以撤单。（具体以销售机构规定为准）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kern w:val="0"/>
                <w:sz w:val="21"/>
                <w:szCs w:val="21"/>
                <w:highlight w:val="none"/>
              </w:rPr>
            </w:pPr>
            <w:r>
              <w:rPr>
                <w:rFonts w:hint="eastAsia" w:ascii="宋体" w:hAnsi="宋体" w:cs="宋体"/>
                <w:color w:val="000000"/>
                <w:kern w:val="0"/>
                <w:sz w:val="21"/>
                <w:szCs w:val="21"/>
                <w:highlight w:val="none"/>
              </w:rPr>
              <w:t>4.开放日工作时间外提交的预交易申请，在下个开放日</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:00〗</w:t>
            </w:r>
            <w:r>
              <w:rPr>
                <w:rFonts w:hint="eastAsia" w:ascii="宋体" w:hAnsi="宋体" w:cs="宋体"/>
                <w:bCs/>
                <w:color w:val="000000"/>
                <w:sz w:val="21"/>
                <w:szCs w:val="21"/>
                <w:highlight w:val="none"/>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5.上述交易安排如有调整，请以管理人公告为准。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kern w:val="2"/>
                <w:sz w:val="21"/>
                <w:szCs w:val="21"/>
                <w:highlight w:val="none"/>
                <w:lang w:val="en-US" w:eastAsia="zh-CN" w:bidi="ar-SA"/>
              </w:rPr>
            </w:pPr>
            <w:r>
              <w:rPr>
                <w:rFonts w:hint="eastAsia" w:ascii="宋体" w:hAnsi="宋体" w:cs="宋体"/>
                <w:color w:val="000000"/>
                <w:sz w:val="21"/>
                <w:szCs w:val="21"/>
                <w:highlight w:val="none"/>
              </w:rPr>
              <w:t>1.</w:t>
            </w:r>
            <w:r>
              <w:rPr>
                <w:rFonts w:hint="eastAsia" w:ascii="宋体" w:hAnsi="宋体" w:eastAsia="宋体" w:cs="宋体"/>
                <w:color w:val="000000"/>
                <w:kern w:val="2"/>
                <w:sz w:val="21"/>
                <w:szCs w:val="21"/>
                <w:highlight w:val="none"/>
                <w:lang w:val="en-US" w:eastAsia="zh-CN" w:bidi="ar-SA"/>
              </w:rPr>
              <w:t>〖A份额〗单户持有上限为〖3〗千万元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〖D份额〗单户持有上限为〖3〗千万元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〖E份额〗单户持有上限为〖3〗千万元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〖F份额〗单户持有上限为〖3〗千万元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〖G份额〗单户持有上限为〖3〗千万元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〖S份额〗单户持有上限为〖3〗千万元</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eastAsia="宋体" w:cs="宋体"/>
                <w:color w:val="FF0000"/>
                <w:sz w:val="21"/>
                <w:szCs w:val="21"/>
                <w:highlight w:val="none"/>
                <w:lang w:eastAsia="zh-CN"/>
              </w:rPr>
            </w:pPr>
            <w:r>
              <w:rPr>
                <w:rFonts w:hint="eastAsia" w:ascii="宋体" w:hAnsi="宋体" w:eastAsia="宋体" w:cs="宋体"/>
                <w:color w:val="000000"/>
                <w:kern w:val="2"/>
                <w:sz w:val="21"/>
                <w:szCs w:val="21"/>
                <w:lang w:val="en-US" w:eastAsia="zh-CN" w:bidi="ar"/>
              </w:rPr>
              <w:t>上述份额单笔赎回最低份额为〖0.01〗份，超过部分应为〖0.01〗份的整数倍</w:t>
            </w:r>
            <w:r>
              <w:rPr>
                <w:rFonts w:hint="eastAsia" w:ascii="宋体" w:hAnsi="宋体" w:cs="宋体"/>
                <w:color w:val="000000"/>
                <w:kern w:val="2"/>
                <w:sz w:val="21"/>
                <w:szCs w:val="21"/>
                <w:lang w:val="en-US" w:eastAsia="zh-CN" w:bidi="ar"/>
              </w:rPr>
              <w:t>。</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2.单户最低存续份额为〖</w:t>
            </w:r>
            <w:r>
              <w:rPr>
                <w:rFonts w:hint="eastAsia" w:ascii="宋体" w:hAnsi="宋体" w:cs="宋体"/>
                <w:color w:val="000000"/>
                <w:sz w:val="21"/>
                <w:szCs w:val="21"/>
                <w:highlight w:val="none"/>
                <w:lang w:eastAsia="zh-CN"/>
              </w:rPr>
              <w:t>0.01</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份</w:t>
            </w:r>
            <w:r>
              <w:rPr>
                <w:rFonts w:hint="eastAsia" w:ascii="宋体" w:hAnsi="宋体" w:cs="宋体"/>
                <w:color w:val="000000"/>
                <w:sz w:val="21"/>
                <w:szCs w:val="21"/>
                <w:highlight w:val="none"/>
              </w:rPr>
              <w:t>。受理财收益分配去尾规则的影响，投资者持有理财计划份额较低时可能无法取得收益。</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cs="宋体"/>
                <w:color w:val="000000"/>
                <w:sz w:val="21"/>
                <w:szCs w:val="21"/>
                <w:highlight w:val="none"/>
              </w:rPr>
              <w:t>3.在理财计划存续期内，管理人有权根据市场情况变化调整单户限额比例，具体以管理人公告为准。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cs="宋体"/>
                <w:color w:val="000000"/>
                <w:sz w:val="21"/>
                <w:szCs w:val="21"/>
                <w:highlight w:val="none"/>
              </w:rPr>
              <w:t>4.本理财计划单一投资者持有份额不得超过理财计划总份额的50%，如投资者持有份额超过上述比例，管理人有权不接受上述比例之外的认购/申购申请。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w:t>
            </w:r>
            <w:r>
              <w:rPr>
                <w:rFonts w:hint="eastAsia" w:ascii="宋体" w:hAnsi="宋体" w:cs="宋体"/>
                <w:color w:val="000000"/>
                <w:sz w:val="21"/>
                <w:szCs w:val="21"/>
                <w:highlight w:val="none"/>
              </w:rPr>
              <w:t>1元</w:t>
            </w:r>
            <w:r>
              <w:rPr>
                <w:rFonts w:hint="eastAsia" w:ascii="宋体" w:hAnsi="宋体" w:cs="宋体"/>
                <w:bCs/>
                <w:color w:val="000000"/>
                <w:sz w:val="21"/>
                <w:szCs w:val="21"/>
                <w:highlight w:val="none"/>
              </w:rPr>
              <w:t>。申购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color w:val="000000"/>
                <w:sz w:val="21"/>
                <w:szCs w:val="21"/>
                <w:highlight w:val="none"/>
              </w:rPr>
            </w:pPr>
            <w:r>
              <w:rPr>
                <w:rFonts w:hint="eastAsia" w:ascii="宋体" w:hAnsi="宋体" w:cs="宋体"/>
                <w:color w:val="000000"/>
                <w:sz w:val="21"/>
                <w:szCs w:val="21"/>
                <w:highlight w:val="none"/>
              </w:rPr>
              <w:t>本理财计划采用1.00元固定单位净值交易方式。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1.如投资者在工作时间内发起赎回申请，赎回资金确认后，最快确认日当日，即赎回申请日后的1个〖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〗内（遇节假日顺延）支付。</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2.如投资者在工作时间外发起赎回申请，赎回资金确认后，最快确认日当日，即赎回申请日后的2个〖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〗内（遇节假日顺延）支付。</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3.如遇资金在途或法定工作日调整，实际资金到账日以公告为准。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1.本理财计划不保障本金和收益。收益每日计算，〖按日结转为份额〗。具体分配方案以管理人公告为准。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2.如理财计划出现无法分红的情况，管理人有权暂停本理财计划的申购和赎回申请，具体以管理人公告为准。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1.销售服务费：</w:t>
            </w:r>
            <w:r>
              <w:rPr>
                <w:rFonts w:hint="eastAsia" w:ascii="宋体" w:hAnsi="宋体" w:eastAsia="宋体" w:cs="宋体"/>
                <w:color w:val="000000"/>
                <w:kern w:val="2"/>
                <w:sz w:val="21"/>
                <w:szCs w:val="21"/>
                <w:highlight w:val="none"/>
                <w:lang w:val="en-US" w:eastAsia="zh-CN" w:bidi="ar-SA"/>
              </w:rPr>
              <w:t>〖A份额〗收取年化〖0.20%〗的销售服务费, 〖B份额〗收取年化〖0.10%〗的销售服务费, 〖C份额〗收取年化〖0.20%〗的销售服务费, 〖D份额〗收取年化〖0.20%〗的销售服务费, 〖E份额〗收取年化〖0.30%〗的销售服务费, 〖F份额〗收取年化〖0.30%〗的销售服务费, 〖G份额〗收取年化〖0%〗的销售服务费, 〖S份额〗收取年化〖0%〗的销售服务费。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〖B份额〗收取年化〖0.40%〗的固定管理费, 〖C份额〗收取年化〖0.30%〗的固定管理费, 〖D份额〗收取年化〖0.20%〗的固定管理费, 〖E份额〗收取年化〖0.30%〗的固定管理费, 〖F份额〗收取年化〖0.30%〗的固定管理费, 〖G份额〗收取年化〖0.45%〗的固定管理费, 〖S份额〗收取年化〖0.40%〗的固定管理费。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本理财计划免除赎回费（不包含强制赎回费）。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default" w:ascii="宋体" w:hAnsi="宋体" w:cs="宋体"/>
                <w:color w:val="000000"/>
                <w:sz w:val="21"/>
                <w:szCs w:val="21"/>
                <w:highlight w:val="none"/>
              </w:rPr>
              <w:t>本理财计划免除浮动管理费。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8</w:t>
            </w:r>
            <w:r>
              <w:rPr>
                <w:rFonts w:hint="eastAsia" w:ascii="宋体" w:hAnsi="宋体" w:cs="宋体"/>
                <w:color w:val="000000"/>
                <w:sz w:val="21"/>
                <w:szCs w:val="21"/>
                <w:highlight w:val="none"/>
              </w:rPr>
              <w:t>.强制赎回费（如有）：</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理财计划持有的现金、国债、中央银行票据、政策性金融债券以及5个交易日内到期的其他金融工具占理财计划资产净值的比例合计低于5%且偏离度为负时，管理人有权对当日单个投资者申请赎回份额超过理财计划总份额1%以上的赎回申请收取1%的强制赎回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理财计划前10名投资者的持有份额合计超过理财计划总份额的50%时，当投资组合中现金、国债、中央银行票据、政策性金融债券以及5个交易日内到期的其他金融工具占理财计划资产净值的比例合计低于10%且偏离度为负时，管理人有权对投资者超过理财计划总份额1%以上的赎回申请收取1%的强制赎回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如遇国家金融政策出现重大调整并影响到本理财计划的正常运行的、市场收益率大幅波动可能或实质影响理财计划收益等情况，管理人有权提前全部或部分终止本理财计划。具体参见说明书“交易规则”部分。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szCs w:val="24"/>
          <w:highlight w:val="none"/>
        </w:rPr>
      </w:pPr>
      <w:r>
        <w:rPr>
          <w:rFonts w:hint="eastAsia" w:ascii="宋体" w:hAnsi="宋体"/>
          <w:b/>
          <w:color w:val="000000"/>
          <w:sz w:val="24"/>
          <w:szCs w:val="24"/>
          <w:highlight w:val="none"/>
        </w:rPr>
        <w:t>特别说明：</w:t>
      </w:r>
      <w:r>
        <w:rPr>
          <w:rFonts w:hint="eastAsia" w:ascii="宋体" w:hAnsi="宋体" w:cs="宋体"/>
          <w:b/>
          <w:color w:val="000000"/>
          <w:sz w:val="24"/>
          <w:szCs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szCs w:val="24"/>
          <w:highlight w:val="none"/>
        </w:rPr>
      </w:pPr>
    </w:p>
    <w:p>
      <w:pPr>
        <w:numPr>
          <w:ilvl w:val="0"/>
          <w:numId w:val="11"/>
        </w:numPr>
        <w:spacing w:line="360" w:lineRule="auto"/>
        <w:ind w:firstLine="482" w:firstLineChars="200"/>
        <w:outlineLvl w:val="1"/>
        <w:rPr>
          <w:rFonts w:hint="eastAsia" w:ascii="宋体" w:hAnsi="宋体" w:cs="宋体"/>
          <w:b/>
          <w:color w:val="000000"/>
          <w:sz w:val="24"/>
          <w:szCs w:val="24"/>
          <w:highlight w:val="none"/>
        </w:rPr>
      </w:pPr>
      <w:r>
        <w:rPr>
          <w:rFonts w:hint="eastAsia" w:ascii="宋体" w:hAnsi="宋体" w:cs="宋体"/>
          <w:b/>
          <w:color w:val="000000"/>
          <w:sz w:val="24"/>
          <w:szCs w:val="24"/>
          <w:highlight w:val="none"/>
        </w:rPr>
        <w:t>投资管理</w:t>
      </w:r>
    </w:p>
    <w:p>
      <w:pPr>
        <w:numPr>
          <w:ilvl w:val="0"/>
          <w:numId w:val="0"/>
        </w:numPr>
        <w:spacing w:line="360" w:lineRule="auto"/>
        <w:ind w:firstLine="480" w:firstLineChars="200"/>
        <w:outlineLvl w:val="9"/>
        <w:rPr>
          <w:rFonts w:hint="eastAsia" w:ascii="宋体" w:hAnsi="宋体" w:cs="宋体"/>
          <w:b/>
          <w:color w:val="000000"/>
          <w:sz w:val="24"/>
          <w:szCs w:val="24"/>
          <w:highlight w:val="none"/>
        </w:rPr>
      </w:pPr>
      <w:r>
        <w:rPr>
          <w:rFonts w:hint="eastAsia" w:ascii="宋体" w:hAnsi="宋体" w:cs="宋体"/>
          <w:bCs/>
          <w:color w:val="000000"/>
          <w:kern w:val="2"/>
          <w:sz w:val="24"/>
          <w:szCs w:val="24"/>
          <w:highlight w:val="none"/>
        </w:rPr>
        <w:t>本理财计划自成立日起</w:t>
      </w:r>
      <w:r>
        <w:rPr>
          <w:rFonts w:hint="eastAsia" w:ascii="宋体" w:hAnsi="宋体" w:eastAsia="宋体" w:cs="宋体"/>
          <w:bCs/>
          <w:color w:val="000000"/>
          <w:kern w:val="2"/>
          <w:sz w:val="24"/>
          <w:szCs w:val="24"/>
          <w:highlight w:val="none"/>
          <w:lang w:val="en-US" w:eastAsia="zh-CN" w:bidi="ar-SA"/>
        </w:rPr>
        <w:t>3个月</w:t>
      </w:r>
      <w:r>
        <w:rPr>
          <w:rFonts w:hint="eastAsia" w:ascii="宋体" w:hAnsi="宋体" w:cs="宋体"/>
          <w:bCs/>
          <w:color w:val="000000"/>
          <w:kern w:val="2"/>
          <w:sz w:val="24"/>
          <w:szCs w:val="24"/>
          <w:highlight w:val="none"/>
        </w:rPr>
        <w:t>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投资范围</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本理财计划直接或间接通过资管产品投资于符合监管要求的以下固定收益类资产：</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现金；</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期限</w:t>
      </w:r>
      <w:r>
        <w:rPr>
          <w:rFonts w:hint="eastAsia" w:ascii="宋体" w:hAnsi="宋体" w:cs="宋体"/>
          <w:color w:val="000000"/>
          <w:sz w:val="24"/>
          <w:szCs w:val="24"/>
          <w:highlight w:val="none"/>
          <w:shd w:val="clear" w:color="auto" w:fill="FFFFFF"/>
        </w:rPr>
        <w:t>在1年以内（含1年）的银行存款、债券回购、中央银行票据、同业存单；</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color w:val="000000"/>
          <w:sz w:val="24"/>
          <w:szCs w:val="24"/>
          <w:highlight w:val="none"/>
          <w:shd w:val="clear" w:color="auto" w:fill="FFFFFF"/>
        </w:rPr>
        <w:t>剩余期限在397天以内（含397天）的债券、在银行间市场和证券交易所市场发行的资产支持证券；</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国家金融监督管理总局、中国人民银行认可的其他具有良好流动性的货币市场工具。</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债券的信用等级应当主要参照最近一个会计年度的主体信用评级，如果对发行人同时有两家以上境内评级机构评级的，应当选择使用评级较低、违约概率较大的外部评级结果。管理人将不完全依赖外部评级机构的评级结果，还将结合内部评级进行独立判断和认定。同时，本理财计划与相关交易对手开展买入返售交易的，可接受的合格质押品应当与本理财计划约定的投资范围保持一致。</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投资比例</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本理财计划各投资资产占总资产的配置比例如下：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100%</w:t>
            </w:r>
          </w:p>
        </w:tc>
      </w:tr>
    </w:tbl>
    <w:p>
      <w:pPr>
        <w:pStyle w:val="20"/>
        <w:adjustRightInd/>
        <w:spacing w:line="360" w:lineRule="auto"/>
        <w:ind w:firstLine="456" w:firstLineChars="190"/>
        <w:rPr>
          <w:rFonts w:hint="eastAsia" w:ascii="宋体" w:hAnsi="宋体" w:cs="宋体"/>
          <w:bCs/>
          <w:color w:val="auto"/>
          <w:kern w:val="2"/>
          <w:sz w:val="24"/>
          <w:szCs w:val="24"/>
          <w:highlight w:val="none"/>
        </w:rPr>
      </w:pPr>
      <w:r>
        <w:rPr>
          <w:rFonts w:hint="eastAsia" w:ascii="宋体" w:hAnsi="宋体" w:cs="宋体"/>
          <w:bCs/>
          <w:color w:val="000000"/>
          <w:kern w:val="2"/>
          <w:sz w:val="24"/>
          <w:szCs w:val="24"/>
          <w:highlight w:val="none"/>
        </w:rPr>
        <w:t>本理财计划特殊资产类型为基于大类资产类型项下的进一步细化分类，其配置比例不得超过大类资产配置比例。</w:t>
      </w:r>
    </w:p>
    <w:p>
      <w:pPr>
        <w:pStyle w:val="20"/>
        <w:adjustRightInd/>
        <w:spacing w:line="360" w:lineRule="auto"/>
        <w:ind w:firstLine="480" w:firstLineChars="200"/>
        <w:rPr>
          <w:rFonts w:hint="eastAsia" w:ascii="宋体" w:hAnsi="宋体" w:cs="宋体"/>
          <w:bCs/>
          <w:color w:val="auto"/>
          <w:kern w:val="2"/>
          <w:sz w:val="24"/>
          <w:szCs w:val="24"/>
          <w:highlight w:val="none"/>
        </w:rPr>
      </w:pPr>
      <w:r>
        <w:rPr>
          <w:rFonts w:hint="eastAsia" w:ascii="宋体" w:hAnsi="宋体" w:cs="宋体"/>
          <w:bCs/>
          <w:color w:val="000000"/>
          <w:kern w:val="2"/>
          <w:sz w:val="24"/>
          <w:szCs w:val="24"/>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投资策略</w:t>
      </w:r>
    </w:p>
    <w:p>
      <w:pPr>
        <w:pStyle w:val="20"/>
        <w:numPr>
          <w:ilvl w:val="0"/>
          <w:numId w:val="14"/>
        </w:numPr>
        <w:adjustRightInd/>
        <w:spacing w:line="360" w:lineRule="auto"/>
        <w:ind w:firstLine="480" w:firstLineChars="200"/>
        <w:rPr>
          <w:rFonts w:hint="eastAsia" w:ascii="宋体" w:hAnsi="宋体" w:cs="宋体"/>
          <w:bCs/>
          <w:color w:val="000000"/>
          <w:kern w:val="2"/>
          <w:sz w:val="24"/>
          <w:szCs w:val="24"/>
          <w:highlight w:val="none"/>
        </w:rPr>
      </w:pPr>
      <w:r>
        <w:rPr>
          <w:rFonts w:hint="eastAsia" w:ascii="宋体" w:hAnsi="宋体" w:cs="宋体"/>
          <w:bCs/>
          <w:color w:val="000000"/>
          <w:kern w:val="2"/>
          <w:sz w:val="24"/>
          <w:szCs w:val="24"/>
          <w:highlight w:val="none"/>
        </w:rPr>
        <w:t>资产配置策略</w:t>
      </w:r>
    </w:p>
    <w:p>
      <w:pPr>
        <w:pStyle w:val="20"/>
        <w:adjustRightInd/>
        <w:spacing w:line="360" w:lineRule="auto"/>
        <w:ind w:firstLine="480" w:firstLineChars="200"/>
        <w:rPr>
          <w:rFonts w:ascii="宋体" w:cs="宋体"/>
          <w:color w:val="000000"/>
          <w:sz w:val="24"/>
          <w:szCs w:val="24"/>
          <w:highlight w:val="none"/>
        </w:rPr>
      </w:pPr>
      <w:r>
        <w:rPr>
          <w:rFonts w:hint="eastAsia" w:ascii="宋体" w:hAnsi="宋体" w:cs="宋体"/>
          <w:bCs/>
          <w:color w:val="000000"/>
          <w:kern w:val="2"/>
          <w:sz w:val="24"/>
          <w:szCs w:val="24"/>
          <w:highlight w:val="none"/>
        </w:rPr>
        <w:t>将通过对宏观经济形势、各项国家政策、及证券市场环境的分析来判断经济周期目前的位置，主动判断市场时机进行固定收益类资产配置，确定在货币市场工具类、债券类、其他符合监管要求的固定收益类资产上的投资比例。</w:t>
      </w:r>
    </w:p>
    <w:p>
      <w:pPr>
        <w:numPr>
          <w:ilvl w:val="0"/>
          <w:numId w:val="1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债券投资策略</w:t>
      </w:r>
    </w:p>
    <w:p>
      <w:pPr>
        <w:pStyle w:val="20"/>
        <w:adjustRightInd/>
        <w:spacing w:line="360" w:lineRule="auto"/>
        <w:ind w:firstLine="480" w:firstLineChars="200"/>
        <w:rPr>
          <w:rFonts w:hint="eastAsia" w:ascii="宋体" w:hAnsi="宋体" w:cs="宋体"/>
          <w:bCs/>
          <w:color w:val="FF0000"/>
          <w:sz w:val="24"/>
          <w:szCs w:val="24"/>
          <w:highlight w:val="none"/>
        </w:rPr>
      </w:pPr>
      <w:r>
        <w:rPr>
          <w:rFonts w:hint="eastAsia" w:ascii="宋体" w:hAnsi="宋体" w:cs="宋体"/>
          <w:bCs/>
          <w:color w:val="000000"/>
          <w:kern w:val="2"/>
          <w:sz w:val="24"/>
          <w:szCs w:val="24"/>
          <w:highlight w:val="none"/>
        </w:rPr>
        <w:t>管理人本着稳健投资的理念，采用安全性和流动性优先、优选投资品种，在资产配置上以较大比例配置投资级别的债券、回购、存放同业等资产，通过组合管理实现稳健收益。</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投资限制</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投向限制</w:t>
      </w:r>
    </w:p>
    <w:p>
      <w:pPr>
        <w:spacing w:line="360" w:lineRule="auto"/>
        <w:ind w:left="420" w:leftChars="200"/>
        <w:jc w:val="left"/>
        <w:rPr>
          <w:rFonts w:ascii="宋体" w:hAnsi="宋体" w:cs="宋体"/>
          <w:bCs/>
          <w:sz w:val="24"/>
          <w:szCs w:val="24"/>
          <w:highlight w:val="none"/>
        </w:rPr>
      </w:pPr>
      <w:r>
        <w:rPr>
          <w:rFonts w:hint="eastAsia" w:ascii="宋体" w:hAnsi="宋体" w:cs="宋体"/>
          <w:bCs/>
          <w:color w:val="000000"/>
          <w:sz w:val="24"/>
          <w:szCs w:val="24"/>
          <w:highlight w:val="none"/>
        </w:rPr>
        <w:t>本理财计划不得投资于以下资产：</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股票；</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可转换债券、可交换债券；</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以</w:t>
      </w:r>
      <w:r>
        <w:rPr>
          <w:rFonts w:hint="eastAsia" w:ascii="宋体" w:hAnsi="宋体" w:cs="宋体"/>
          <w:color w:val="000000"/>
          <w:sz w:val="24"/>
          <w:szCs w:val="24"/>
          <w:highlight w:val="none"/>
          <w:shd w:val="clear" w:color="auto" w:fill="FFFFFF"/>
        </w:rPr>
        <w:t>定期存款利率为基准利率的浮动利率债券，已进入最后一个利率调整期的除外；</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信用等级在AA+以下的债券、资产支持证券；</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国家金融监督管理总局、中国人民银行禁止投资的其他金融工具。</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投资集中度限制</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szCs w:val="24"/>
          <w:highlight w:val="none"/>
        </w:rPr>
        <w:t>证券投资基金</w:t>
      </w:r>
      <w:r>
        <w:rPr>
          <w:rFonts w:ascii="宋体" w:hAnsi="宋体" w:cs="宋体"/>
          <w:bCs/>
          <w:color w:val="000000"/>
          <w:sz w:val="24"/>
          <w:szCs w:val="24"/>
          <w:highlight w:val="none"/>
        </w:rPr>
        <w:fldChar w:fldCharType="end"/>
      </w:r>
      <w:r>
        <w:rPr>
          <w:rFonts w:ascii="宋体" w:hAnsi="宋体" w:cs="宋体"/>
          <w:bCs/>
          <w:color w:val="000000"/>
          <w:sz w:val="24"/>
          <w:szCs w:val="24"/>
          <w:highlight w:val="none"/>
        </w:rPr>
        <w:t>的市值不得超过该理财</w:t>
      </w:r>
      <w:r>
        <w:rPr>
          <w:rFonts w:hint="eastAsia" w:ascii="宋体" w:hAnsi="宋体" w:cs="宋体"/>
          <w:bCs/>
          <w:color w:val="000000"/>
          <w:sz w:val="24"/>
          <w:szCs w:val="24"/>
          <w:highlight w:val="none"/>
        </w:rPr>
        <w:t>计划</w:t>
      </w:r>
      <w:r>
        <w:rPr>
          <w:rFonts w:ascii="宋体" w:hAnsi="宋体" w:cs="宋体"/>
          <w:bCs/>
          <w:color w:val="000000"/>
          <w:sz w:val="24"/>
          <w:szCs w:val="24"/>
          <w:highlight w:val="none"/>
        </w:rPr>
        <w:t>净资产</w:t>
      </w:r>
      <w:r>
        <w:rPr>
          <w:rFonts w:hint="eastAsia" w:ascii="宋体" w:hAnsi="宋体" w:cs="宋体"/>
          <w:bCs/>
          <w:color w:val="000000"/>
          <w:sz w:val="24"/>
          <w:szCs w:val="24"/>
          <w:highlight w:val="none"/>
        </w:rPr>
        <w:t>的</w:t>
      </w:r>
      <w:r>
        <w:rPr>
          <w:rFonts w:ascii="宋体" w:hAnsi="宋体" w:cs="宋体"/>
          <w:bCs/>
          <w:color w:val="000000"/>
          <w:sz w:val="24"/>
          <w:szCs w:val="24"/>
          <w:highlight w:val="none"/>
        </w:rPr>
        <w:t>10%</w:t>
      </w:r>
      <w:r>
        <w:rPr>
          <w:rFonts w:hint="eastAsia" w:ascii="宋体" w:hAnsi="宋体" w:cs="宋体"/>
          <w:bCs/>
          <w:color w:val="000000"/>
          <w:sz w:val="24"/>
          <w:szCs w:val="24"/>
          <w:highlight w:val="none"/>
        </w:rPr>
        <w:t>。</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管理人发行的全部公募理财计划持有单只证券或单只公募证券投资基金的市值，不得超过该证券市值或该公募证券投资基金市值的30%。</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本理财计划投资于同一机构发行的债券及其作为原始权益人的资产支持证券的比例合计不得超过理财计划资产净值的10%，投资于国债、中央银行票据、政策性金融债券的除外。</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本理财计划投资于所有主体信用评级</w:t>
      </w:r>
      <w:r>
        <w:rPr>
          <w:rFonts w:hint="eastAsia" w:ascii="宋体" w:hAnsi="宋体" w:cs="宋体"/>
          <w:color w:val="000000"/>
          <w:sz w:val="24"/>
          <w:szCs w:val="24"/>
          <w:highlight w:val="none"/>
          <w:shd w:val="clear" w:color="auto" w:fill="FFFFFF"/>
        </w:rPr>
        <w:t>低于AAA的机构发行的金融工具的比例合计不得超过理财计划资产净值的10%，其中单一机构发行的金融工具的比例合计不得超过理财计划资产净值的2%；本款所称金融工具包括债券、银行存款、同业存单、相关机构作为原始权益人的资产支持证券及国家金融监督管理总局认可的其他金融工具。</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本理财计划投资于有固定期限银行存款的比例合计不得超过理财计划资产净值的30%，投资于有存款期限，根据协议可提前支取的银行存款除外；本理财计划投资于主体信用评级为AAA的同一商业银行的银行存款、同业存单占理财计划资产净值的比例合计不得超过20%。</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管理人全部现金管理类产品投资于同一商业银行的存款、同业存单和债券，不得超过该商业银行最近一个季度末净资产的10%。</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监督管理机构另有规定的除外。</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对于非因管理人主观因素导致突破前述第（1）至（2）项比例限制的，管理人应当在流动性受限资产可出售、可转让或者恢复交易的10个交易日内调整至符合要求，监督管理机构规定的特殊情形除外。</w:t>
      </w:r>
    </w:p>
    <w:p>
      <w:pPr>
        <w:spacing w:line="360" w:lineRule="auto"/>
        <w:jc w:val="left"/>
        <w:rPr>
          <w:rFonts w:ascii="宋体" w:hAnsi="宋体" w:cs="宋体"/>
          <w:bCs/>
          <w:sz w:val="24"/>
          <w:szCs w:val="24"/>
          <w:highlight w:val="none"/>
        </w:rPr>
      </w:pPr>
      <w:r>
        <w:rPr>
          <w:rFonts w:hint="eastAsia" w:ascii="宋体" w:hAnsi="宋体" w:cs="宋体"/>
          <w:bCs/>
          <w:color w:val="000000"/>
          <w:sz w:val="24"/>
          <w:szCs w:val="24"/>
          <w:highlight w:val="none"/>
        </w:rPr>
        <w:t xml:space="preserve">    对于非因管理人主观因素导致突破前述第（3）至（6）项比例限制的，管理人应当在10个交易日内调整至符合要求，监督管理机构规定的特殊情形除外。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投资期限限制</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本理财计划投资组合的平均剩余期限不得超过120天，平均剩余存续期限不得超过240天。</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当前10名</w:t>
      </w:r>
      <w:r>
        <w:rPr>
          <w:rFonts w:hint="eastAsia" w:ascii="宋体" w:hAnsi="宋体" w:cs="宋体"/>
          <w:color w:val="000000"/>
          <w:sz w:val="24"/>
          <w:szCs w:val="24"/>
          <w:highlight w:val="none"/>
          <w:shd w:val="clear" w:color="auto" w:fill="FFFFFF"/>
        </w:rPr>
        <w:t>投资者的持有份额合计超过理财计划总份额的50%时，投资组合的平均剩余期限不得超过60天，平均剩余存续期限不得超过120天，投资组合中现金、国债、中央银行票据、政策性金融债券以及5个交易日内到期的其他金融工具占理财计划资产净值的比例合计不得低于30%。</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当</w:t>
      </w:r>
      <w:r>
        <w:rPr>
          <w:rFonts w:hint="eastAsia" w:ascii="宋体" w:hAnsi="宋体" w:cs="宋体"/>
          <w:bCs/>
          <w:color w:val="000000"/>
          <w:sz w:val="24"/>
          <w:szCs w:val="24"/>
          <w:highlight w:val="none"/>
        </w:rPr>
        <w:t>前10名</w:t>
      </w:r>
      <w:r>
        <w:rPr>
          <w:rFonts w:hint="eastAsia" w:ascii="宋体" w:hAnsi="宋体" w:cs="宋体"/>
          <w:color w:val="000000"/>
          <w:sz w:val="24"/>
          <w:szCs w:val="24"/>
          <w:highlight w:val="none"/>
          <w:shd w:val="clear" w:color="auto" w:fill="FFFFFF"/>
        </w:rPr>
        <w:t>投资者的持有份额合计超过理财计划总份额的20%时，投资组合的平均剩余期限不得超过90天，平均剩余存续期限不得超过180天，投资组合中现金、国债、中央银行票据、政策性金融债券以及5个交易日内到期的其他金融工具占理财计划资产净值的比例合计不得低于20%。</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对于非因管理人主观因素导致突破前述第（2）至（3）项比例限制的，管理人应当在10个交易日内调整至符合要求，监督管理机构规定的特殊情形除外。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投资杠杆率限制</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的总资产不得超过净资产的120%，发生巨额赎回、连续3个交易日累计赎回20%以上或者连续5个交易日累计赎回30%以上的情形除外。对于非因管理人主观因素导致突破前述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流动性限制</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本理财计划直接投资于流动性受限资产的市值在开放日不得超过该理财计划资产净值的15%。</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本理财计划应持有不低于该理财计划资产净值的5%的现金、国债、中央银行票据、政策性金融债券。</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本理财计划应持有不低于该理财计划资产净值的10%的现金、国债、中央银行票据、政策性金融债券以及5个交易日内到期的其他金融工具。</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本理财计划投资到期日在中央银行票据、政策性金融债券</w:t>
      </w:r>
      <w:r>
        <w:rPr>
          <w:rFonts w:hint="eastAsia" w:ascii="宋体" w:hAnsi="宋体" w:cs="宋体"/>
          <w:color w:val="000000"/>
          <w:sz w:val="24"/>
          <w:szCs w:val="24"/>
          <w:highlight w:val="none"/>
          <w:shd w:val="clear" w:color="auto" w:fill="FFFFFF"/>
        </w:rPr>
        <w:t>（含协议约定有条件提前支取的银行存款），以及资产支持证券、因发行人债务违约无法进行转让或者交易的债券等由于法律法规、合同或者操作障碍等原因无法以合理价格予以变现的流动性受限资产，合计不得超过理财计划资产净值的10%。</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在开放日前一工作日内，本理财计划7个工作日可变现资产的可变现价值应当不低于该理财计划资产净值的10%。</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本理财计划投资不存在活跃交易市场，并且需要采用估值技术确定公允价值的资产比例不得超过理财产品净资产50%以上。</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对于非因管理人主观因素导致突破前述第（3）项比例限制的，管理人应当在流动性受限资产可出售、可转让或者恢复交易的10个交易日内调整至符合要求，监督管理机构规定的特殊情形除外。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其他投资限制</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szCs w:val="24"/>
          <w:highlight w:val="none"/>
        </w:rPr>
        <w:t>资产支持证券</w:t>
      </w:r>
      <w:r>
        <w:rPr>
          <w:rFonts w:ascii="宋体" w:hAnsi="宋体" w:cs="宋体"/>
          <w:bCs/>
          <w:color w:val="000000"/>
          <w:sz w:val="24"/>
          <w:szCs w:val="24"/>
          <w:highlight w:val="none"/>
        </w:rPr>
        <w:fldChar w:fldCharType="end"/>
      </w:r>
      <w:r>
        <w:rPr>
          <w:rFonts w:hint="eastAsia" w:ascii="宋体" w:hAnsi="宋体" w:cs="宋体"/>
          <w:bCs/>
          <w:color w:val="000000"/>
          <w:sz w:val="24"/>
          <w:szCs w:val="24"/>
          <w:highlight w:val="none"/>
        </w:rPr>
        <w:t>，不得直接或间接投资于未上市公司股权及其受（收）益权。</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拟投资市场、资产的流动性风险评估</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本理财计划拟投资市场可能面临的流动性风险如下：</w:t>
      </w:r>
    </w:p>
    <w:p>
      <w:pPr>
        <w:numPr>
          <w:ilvl w:val="0"/>
          <w:numId w:val="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于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以上风险仅为列举性质，未能详尽列明拟投资市场和资产面临的全部流动性风险</w:t>
      </w:r>
      <w:r>
        <w:rPr>
          <w:rFonts w:ascii="宋体" w:hAnsi="宋体" w:cs="宋体"/>
          <w:bCs/>
          <w:color w:val="000000"/>
          <w:sz w:val="24"/>
          <w:szCs w:val="24"/>
          <w:highlight w:val="none"/>
        </w:rPr>
        <w:t>可能导致投资者投资本金及收益损失</w:t>
      </w:r>
      <w:r>
        <w:rPr>
          <w:rFonts w:hint="eastAsia" w:ascii="宋体" w:hAnsi="宋体" w:cs="宋体"/>
          <w:bCs/>
          <w:color w:val="000000"/>
          <w:sz w:val="24"/>
          <w:szCs w:val="24"/>
          <w:highlight w:val="none"/>
        </w:rPr>
        <w:t>或延期兑付</w:t>
      </w:r>
      <w:r>
        <w:rPr>
          <w:rFonts w:ascii="宋体" w:hAnsi="宋体" w:cs="宋体"/>
          <w:bCs/>
          <w:color w:val="000000"/>
          <w:sz w:val="24"/>
          <w:szCs w:val="24"/>
          <w:highlight w:val="none"/>
        </w:rPr>
        <w:t>的所有因素</w:t>
      </w:r>
      <w:r>
        <w:rPr>
          <w:rFonts w:hint="eastAsia" w:ascii="宋体" w:hAnsi="宋体" w:cs="宋体"/>
          <w:bCs/>
          <w:color w:val="000000"/>
          <w:sz w:val="24"/>
          <w:szCs w:val="24"/>
          <w:highlight w:val="none"/>
        </w:rPr>
        <w:t>。管理人会进行标的的分散化投资并结合对各类标的资产的预期流动性合理进行资产配置，最大程度防范流动性风险。</w:t>
      </w:r>
    </w:p>
    <w:p>
      <w:pPr>
        <w:spacing w:line="360" w:lineRule="auto"/>
        <w:ind w:firstLine="420" w:firstLineChars="200"/>
        <w:jc w:val="left"/>
        <w:rPr>
          <w:rFonts w:hint="eastAsia" w:ascii="宋体" w:hAnsi="宋体" w:cs="宋体"/>
          <w:bCs/>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22" w:firstLineChars="200"/>
        <w:jc w:val="left"/>
        <w:outlineLvl w:val="2"/>
        <w:rPr>
          <w:rFonts w:hint="eastAsia" w:ascii="宋体" w:hAnsi="宋体" w:cs="宋体"/>
          <w:b/>
          <w:highlight w:val="none"/>
        </w:rPr>
      </w:pPr>
      <w:r>
        <w:rPr>
          <w:rFonts w:hint="eastAsia" w:ascii="宋体" w:hAnsi="宋体" w:cs="宋体"/>
          <w:b/>
          <w:color w:val="000000"/>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上海农村商业银行股份有限公司</w:t>
            </w:r>
          </w:p>
        </w:tc>
        <w:tc>
          <w:tcPr>
            <w:tcW w:w="1200" w:type="dxa"/>
            <w:vAlign w:val="center"/>
          </w:tcPr>
          <w:p>
            <w:pPr>
              <w:jc w:val="left"/>
            </w:pPr>
            <w:r>
              <w:t>住所</w:t>
            </w:r>
          </w:p>
        </w:tc>
        <w:tc>
          <w:tcPr>
            <w:tcW w:w="3800" w:type="dxa"/>
            <w:vAlign w:val="center"/>
          </w:tcPr>
          <w:p>
            <w:pPr>
              <w:jc w:val="center"/>
            </w:pPr>
            <w: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中原银行股份有限公司</w:t>
            </w:r>
          </w:p>
        </w:tc>
        <w:tc>
          <w:tcPr>
            <w:tcW w:w="1200" w:type="dxa"/>
            <w:vAlign w:val="center"/>
          </w:tcPr>
          <w:p>
            <w:pPr>
              <w:jc w:val="left"/>
            </w:pPr>
            <w:r>
              <w:t>住所</w:t>
            </w:r>
          </w:p>
        </w:tc>
        <w:tc>
          <w:tcPr>
            <w:tcW w:w="3800" w:type="dxa"/>
            <w:vAlign w:val="center"/>
          </w:tcPr>
          <w:p>
            <w:pPr>
              <w:jc w:val="center"/>
            </w:pPr>
            <w:r>
              <w:t>河南省郑州市郑东新区CBD商务外环路23号中科金座大厦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0371-85519999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中国邮政储蓄银行股份有限公司</w:t>
            </w:r>
          </w:p>
        </w:tc>
        <w:tc>
          <w:tcPr>
            <w:tcW w:w="1200" w:type="dxa"/>
            <w:vAlign w:val="center"/>
          </w:tcPr>
          <w:p>
            <w:pPr>
              <w:jc w:val="left"/>
            </w:pPr>
            <w:r>
              <w:t>住所</w:t>
            </w:r>
          </w:p>
        </w:tc>
        <w:tc>
          <w:tcPr>
            <w:tcW w:w="3800" w:type="dxa"/>
            <w:vAlign w:val="center"/>
          </w:tcPr>
          <w:p>
            <w:pPr>
              <w:jc w:val="center"/>
            </w:pPr>
            <w:r>
              <w:t>北京市西城区金融大街3号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中山农村商业银行股份有限公司</w:t>
            </w:r>
          </w:p>
        </w:tc>
        <w:tc>
          <w:tcPr>
            <w:tcW w:w="1200" w:type="dxa"/>
            <w:vAlign w:val="center"/>
          </w:tcPr>
          <w:p>
            <w:pPr>
              <w:jc w:val="left"/>
            </w:pPr>
            <w:r>
              <w:t>住所</w:t>
            </w:r>
          </w:p>
        </w:tc>
        <w:tc>
          <w:tcPr>
            <w:tcW w:w="3800" w:type="dxa"/>
            <w:vAlign w:val="center"/>
          </w:tcPr>
          <w:p>
            <w:pPr>
              <w:jc w:val="center"/>
            </w:pPr>
            <w:r>
              <w:t>中山市东区中山三路26号之一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0760-23327126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交通银行股份有限公司</w:t>
            </w:r>
          </w:p>
        </w:tc>
        <w:tc>
          <w:tcPr>
            <w:tcW w:w="1200" w:type="dxa"/>
            <w:vAlign w:val="center"/>
          </w:tcPr>
          <w:p>
            <w:pPr>
              <w:jc w:val="left"/>
            </w:pPr>
            <w:r>
              <w:t>住所</w:t>
            </w:r>
          </w:p>
        </w:tc>
        <w:tc>
          <w:tcPr>
            <w:tcW w:w="3800" w:type="dxa"/>
            <w:vAlign w:val="center"/>
          </w:tcPr>
          <w:p>
            <w:pPr>
              <w:jc w:val="center"/>
            </w:pPr>
            <w:r>
              <w:t>中国(上海)自由贸易试验区银城中路188号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021-58781234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兰州银行股份有限公司</w:t>
            </w:r>
          </w:p>
        </w:tc>
        <w:tc>
          <w:tcPr>
            <w:tcW w:w="1200" w:type="dxa"/>
            <w:vAlign w:val="center"/>
          </w:tcPr>
          <w:p>
            <w:pPr>
              <w:jc w:val="left"/>
            </w:pPr>
            <w:r>
              <w:t>住所</w:t>
            </w:r>
          </w:p>
        </w:tc>
        <w:tc>
          <w:tcPr>
            <w:tcW w:w="3800" w:type="dxa"/>
            <w:vAlign w:val="center"/>
          </w:tcPr>
          <w:p>
            <w:pPr>
              <w:jc w:val="center"/>
            </w:pPr>
            <w: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福建省福州市台江区江滨中大道398号兴业银行大厦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北京中关村银行股份有限公司</w:t>
            </w:r>
          </w:p>
        </w:tc>
        <w:tc>
          <w:tcPr>
            <w:tcW w:w="1200" w:type="dxa"/>
            <w:vAlign w:val="center"/>
          </w:tcPr>
          <w:p>
            <w:pPr>
              <w:jc w:val="left"/>
            </w:pPr>
            <w:r>
              <w:t>住所</w:t>
            </w:r>
          </w:p>
        </w:tc>
        <w:tc>
          <w:tcPr>
            <w:tcW w:w="3800" w:type="dxa"/>
            <w:vAlign w:val="center"/>
          </w:tcPr>
          <w:p>
            <w:pPr>
              <w:jc w:val="center"/>
            </w:pPr>
            <w: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哈尔滨银行股份有限公司</w:t>
            </w:r>
          </w:p>
        </w:tc>
        <w:tc>
          <w:tcPr>
            <w:tcW w:w="1200" w:type="dxa"/>
            <w:vAlign w:val="center"/>
          </w:tcPr>
          <w:p>
            <w:pPr>
              <w:jc w:val="left"/>
            </w:pPr>
            <w:r>
              <w:t>住所</w:t>
            </w:r>
          </w:p>
        </w:tc>
        <w:tc>
          <w:tcPr>
            <w:tcW w:w="3800" w:type="dxa"/>
            <w:vAlign w:val="center"/>
          </w:tcPr>
          <w:p>
            <w:pPr>
              <w:jc w:val="center"/>
            </w:pPr>
            <w:r>
              <w:t>哈尔滨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天津农村商业银行股份有限公司</w:t>
            </w:r>
          </w:p>
        </w:tc>
        <w:tc>
          <w:tcPr>
            <w:tcW w:w="1200" w:type="dxa"/>
            <w:vAlign w:val="center"/>
          </w:tcPr>
          <w:p>
            <w:pPr>
              <w:jc w:val="left"/>
            </w:pPr>
            <w:r>
              <w:t>住所</w:t>
            </w:r>
          </w:p>
        </w:tc>
        <w:tc>
          <w:tcPr>
            <w:tcW w:w="3800" w:type="dxa"/>
            <w:vAlign w:val="center"/>
          </w:tcPr>
          <w:p>
            <w:pPr>
              <w:jc w:val="center"/>
            </w:pPr>
            <w:r>
              <w:t>天津市河西区友谊路32号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022-83875555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宁波东海银行股份有限公司</w:t>
            </w:r>
          </w:p>
        </w:tc>
        <w:tc>
          <w:tcPr>
            <w:tcW w:w="1200" w:type="dxa"/>
            <w:vAlign w:val="center"/>
          </w:tcPr>
          <w:p>
            <w:pPr>
              <w:jc w:val="left"/>
            </w:pPr>
            <w:r>
              <w:t>住所</w:t>
            </w:r>
          </w:p>
        </w:tc>
        <w:tc>
          <w:tcPr>
            <w:tcW w:w="3800" w:type="dxa"/>
            <w:vAlign w:val="center"/>
          </w:tcPr>
          <w:p>
            <w:pPr>
              <w:jc w:val="center"/>
            </w:pPr>
            <w:r>
              <w:t>浙江省宁波市鄞州区和济街181号1幢4、5、6、7层,宁波市鄞州区民安东路292号,宁波市鄞州区鼎泰路355号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0574-81872233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宁波北仑农村商业银行股份有限公司</w:t>
            </w:r>
          </w:p>
        </w:tc>
        <w:tc>
          <w:tcPr>
            <w:tcW w:w="1200" w:type="dxa"/>
            <w:vAlign w:val="center"/>
          </w:tcPr>
          <w:p>
            <w:pPr>
              <w:jc w:val="left"/>
            </w:pPr>
            <w:r>
              <w:t>住所</w:t>
            </w:r>
          </w:p>
        </w:tc>
        <w:tc>
          <w:tcPr>
            <w:tcW w:w="3800" w:type="dxa"/>
            <w:vAlign w:val="center"/>
          </w:tcPr>
          <w:p>
            <w:pPr>
              <w:jc w:val="center"/>
            </w:pPr>
            <w:r>
              <w:t>宁波市北仑区新碶宝山路69号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0574-86965857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宁波通商银行股份有限公司</w:t>
            </w:r>
          </w:p>
        </w:tc>
        <w:tc>
          <w:tcPr>
            <w:tcW w:w="1200" w:type="dxa"/>
            <w:vAlign w:val="center"/>
          </w:tcPr>
          <w:p>
            <w:pPr>
              <w:jc w:val="left"/>
            </w:pPr>
            <w:r>
              <w:t>住所</w:t>
            </w:r>
          </w:p>
        </w:tc>
        <w:tc>
          <w:tcPr>
            <w:tcW w:w="3800" w:type="dxa"/>
            <w:vAlign w:val="center"/>
          </w:tcPr>
          <w:p>
            <w:pPr>
              <w:jc w:val="center"/>
            </w:pPr>
            <w: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平安银行股份有限公司</w:t>
            </w:r>
          </w:p>
        </w:tc>
        <w:tc>
          <w:tcPr>
            <w:tcW w:w="1200" w:type="dxa"/>
            <w:vAlign w:val="center"/>
          </w:tcPr>
          <w:p>
            <w:pPr>
              <w:jc w:val="left"/>
            </w:pPr>
            <w:r>
              <w:t>住所</w:t>
            </w:r>
          </w:p>
        </w:tc>
        <w:tc>
          <w:tcPr>
            <w:tcW w:w="3800" w:type="dxa"/>
            <w:vAlign w:val="center"/>
          </w:tcPr>
          <w:p>
            <w:pPr>
              <w:jc w:val="center"/>
            </w:pPr>
            <w:r>
              <w:t>广东省深圳市罗湖区深南东路5047号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沧州银行股份有限公司</w:t>
            </w:r>
          </w:p>
        </w:tc>
        <w:tc>
          <w:tcPr>
            <w:tcW w:w="1200" w:type="dxa"/>
            <w:vAlign w:val="center"/>
          </w:tcPr>
          <w:p>
            <w:pPr>
              <w:jc w:val="left"/>
            </w:pPr>
            <w:r>
              <w:t>住所</w:t>
            </w:r>
          </w:p>
        </w:tc>
        <w:tc>
          <w:tcPr>
            <w:tcW w:w="3800" w:type="dxa"/>
            <w:vAlign w:val="center"/>
          </w:tcPr>
          <w:p>
            <w:pPr>
              <w:jc w:val="center"/>
            </w:pPr>
            <w:r>
              <w:t>河北省沧州市运河区双金路2号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400-612-6699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浙江丽水莲都农村商业银行股份有限公司</w:t>
            </w:r>
          </w:p>
        </w:tc>
        <w:tc>
          <w:tcPr>
            <w:tcW w:w="1200" w:type="dxa"/>
            <w:vAlign w:val="center"/>
          </w:tcPr>
          <w:p>
            <w:pPr>
              <w:jc w:val="left"/>
            </w:pPr>
            <w:r>
              <w:t>住所</w:t>
            </w:r>
          </w:p>
        </w:tc>
        <w:tc>
          <w:tcPr>
            <w:tcW w:w="3800" w:type="dxa"/>
            <w:vAlign w:val="center"/>
          </w:tcPr>
          <w:p>
            <w:pPr>
              <w:jc w:val="center"/>
            </w:pPr>
            <w:r>
              <w:t>浙江省丽水市莲都区解放街438号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0578-2027170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浙江乐清农村商业银行股份有限公司</w:t>
            </w:r>
          </w:p>
        </w:tc>
        <w:tc>
          <w:tcPr>
            <w:tcW w:w="1200" w:type="dxa"/>
            <w:vAlign w:val="center"/>
          </w:tcPr>
          <w:p>
            <w:pPr>
              <w:jc w:val="left"/>
            </w:pPr>
            <w:r>
              <w:t>住所</w:t>
            </w:r>
          </w:p>
        </w:tc>
        <w:tc>
          <w:tcPr>
            <w:tcW w:w="3800" w:type="dxa"/>
            <w:vAlign w:val="center"/>
          </w:tcPr>
          <w:p>
            <w:pPr>
              <w:jc w:val="center"/>
            </w:pPr>
            <w:r>
              <w:t>浙江省乐清市城南街道伯乐西路99号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0577-62159999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浙江嘉善农村商业银行股份有限公司</w:t>
            </w:r>
          </w:p>
        </w:tc>
        <w:tc>
          <w:tcPr>
            <w:tcW w:w="1200" w:type="dxa"/>
            <w:vAlign w:val="center"/>
          </w:tcPr>
          <w:p>
            <w:pPr>
              <w:jc w:val="left"/>
            </w:pPr>
            <w:r>
              <w:t>住所</w:t>
            </w:r>
          </w:p>
        </w:tc>
        <w:tc>
          <w:tcPr>
            <w:tcW w:w="3800" w:type="dxa"/>
            <w:vAlign w:val="center"/>
          </w:tcPr>
          <w:p>
            <w:pPr>
              <w:jc w:val="center"/>
            </w:pPr>
            <w:r>
              <w:t>浙江省嘉善县罗星街道车站南路999号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0573-84226126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浙江泰隆商业银行股份有限公司</w:t>
            </w:r>
          </w:p>
        </w:tc>
        <w:tc>
          <w:tcPr>
            <w:tcW w:w="1200" w:type="dxa"/>
            <w:vAlign w:val="center"/>
          </w:tcPr>
          <w:p>
            <w:pPr>
              <w:jc w:val="left"/>
            </w:pPr>
            <w:r>
              <w:t>住所</w:t>
            </w:r>
          </w:p>
        </w:tc>
        <w:tc>
          <w:tcPr>
            <w:tcW w:w="3800" w:type="dxa"/>
            <w:vAlign w:val="center"/>
          </w:tcPr>
          <w:p>
            <w:pPr>
              <w:jc w:val="center"/>
            </w:pPr>
            <w:r>
              <w:t>浙江省台州市路桥区南官大道188号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95347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浙江温岭农村商业银行股份有限公司</w:t>
            </w:r>
          </w:p>
        </w:tc>
        <w:tc>
          <w:tcPr>
            <w:tcW w:w="1200" w:type="dxa"/>
            <w:vAlign w:val="center"/>
          </w:tcPr>
          <w:p>
            <w:pPr>
              <w:jc w:val="left"/>
            </w:pPr>
            <w:r>
              <w:t>住所</w:t>
            </w:r>
          </w:p>
        </w:tc>
        <w:tc>
          <w:tcPr>
            <w:tcW w:w="3800" w:type="dxa"/>
            <w:vAlign w:val="center"/>
          </w:tcPr>
          <w:p>
            <w:pPr>
              <w:jc w:val="center"/>
            </w:pPr>
            <w:r>
              <w:t>温岭市城东街道下保路100号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0576-81627780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浙江温州鹿城农村商业银行股份有限公司</w:t>
            </w:r>
          </w:p>
        </w:tc>
        <w:tc>
          <w:tcPr>
            <w:tcW w:w="1200" w:type="dxa"/>
            <w:vAlign w:val="center"/>
          </w:tcPr>
          <w:p>
            <w:pPr>
              <w:jc w:val="left"/>
            </w:pPr>
            <w:r>
              <w:t>住所</w:t>
            </w:r>
          </w:p>
        </w:tc>
        <w:tc>
          <w:tcPr>
            <w:tcW w:w="3800" w:type="dxa"/>
            <w:vAlign w:val="center"/>
          </w:tcPr>
          <w:p>
            <w:pPr>
              <w:jc w:val="center"/>
            </w:pPr>
            <w:r>
              <w:t>温州市鹿城区会展路1500号 9楼金融同业部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0576-88077689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浙江温州龙湾农村商业银行股份有限公司</w:t>
            </w:r>
          </w:p>
        </w:tc>
        <w:tc>
          <w:tcPr>
            <w:tcW w:w="1200" w:type="dxa"/>
            <w:vAlign w:val="center"/>
          </w:tcPr>
          <w:p>
            <w:pPr>
              <w:jc w:val="left"/>
            </w:pPr>
            <w:r>
              <w:t>住所</w:t>
            </w:r>
          </w:p>
        </w:tc>
        <w:tc>
          <w:tcPr>
            <w:tcW w:w="3800" w:type="dxa"/>
            <w:vAlign w:val="center"/>
          </w:tcPr>
          <w:p>
            <w:pPr>
              <w:jc w:val="center"/>
            </w:pPr>
            <w: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浙江金华成泰农村商业银行股份有限公司</w:t>
            </w:r>
          </w:p>
        </w:tc>
        <w:tc>
          <w:tcPr>
            <w:tcW w:w="1200" w:type="dxa"/>
            <w:vAlign w:val="center"/>
          </w:tcPr>
          <w:p>
            <w:pPr>
              <w:jc w:val="left"/>
            </w:pPr>
            <w:r>
              <w:t>住所</w:t>
            </w:r>
          </w:p>
        </w:tc>
        <w:tc>
          <w:tcPr>
            <w:tcW w:w="3800" w:type="dxa"/>
            <w:vAlign w:val="center"/>
          </w:tcPr>
          <w:p>
            <w:pPr>
              <w:jc w:val="center"/>
            </w:pPr>
            <w:r>
              <w:t>浙江省金华市八一南街123号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深圳市南山区沙河西路1819号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95384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湖州吴兴农村商业银行股份有限公司</w:t>
            </w:r>
          </w:p>
        </w:tc>
        <w:tc>
          <w:tcPr>
            <w:tcW w:w="1200" w:type="dxa"/>
            <w:vAlign w:val="center"/>
          </w:tcPr>
          <w:p>
            <w:pPr>
              <w:jc w:val="left"/>
            </w:pPr>
            <w:r>
              <w:t>住所</w:t>
            </w:r>
          </w:p>
        </w:tc>
        <w:tc>
          <w:tcPr>
            <w:tcW w:w="3800" w:type="dxa"/>
            <w:vAlign w:val="center"/>
          </w:tcPr>
          <w:p>
            <w:pPr>
              <w:jc w:val="center"/>
            </w:pPr>
            <w: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福建海峡银行股份有限公司</w:t>
            </w:r>
          </w:p>
        </w:tc>
        <w:tc>
          <w:tcPr>
            <w:tcW w:w="1200" w:type="dxa"/>
            <w:vAlign w:val="center"/>
          </w:tcPr>
          <w:p>
            <w:pPr>
              <w:jc w:val="left"/>
            </w:pPr>
            <w:r>
              <w:t>住所</w:t>
            </w:r>
          </w:p>
        </w:tc>
        <w:tc>
          <w:tcPr>
            <w:tcW w:w="3800" w:type="dxa"/>
            <w:vAlign w:val="center"/>
          </w:tcPr>
          <w:p>
            <w:pPr>
              <w:jc w:val="center"/>
            </w:pPr>
            <w:r>
              <w:t>福建省福州市台江区江滨中大道358号海峡银行大厦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4008939999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蒙商银行股份有限公司</w:t>
            </w:r>
          </w:p>
        </w:tc>
        <w:tc>
          <w:tcPr>
            <w:tcW w:w="1200" w:type="dxa"/>
            <w:vAlign w:val="center"/>
          </w:tcPr>
          <w:p>
            <w:pPr>
              <w:jc w:val="left"/>
            </w:pPr>
            <w:r>
              <w:t>住所</w:t>
            </w:r>
          </w:p>
        </w:tc>
        <w:tc>
          <w:tcPr>
            <w:tcW w:w="3800" w:type="dxa"/>
            <w:vAlign w:val="center"/>
          </w:tcPr>
          <w:p>
            <w:pPr>
              <w:jc w:val="center"/>
            </w:pPr>
            <w:r>
              <w:t>内蒙古自治区包头市九原区赛汗街道办事处建华南路2号A座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0472-2658888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贵阳银行股份有限公司</w:t>
            </w:r>
          </w:p>
        </w:tc>
        <w:tc>
          <w:tcPr>
            <w:tcW w:w="1200" w:type="dxa"/>
            <w:vAlign w:val="center"/>
          </w:tcPr>
          <w:p>
            <w:pPr>
              <w:jc w:val="left"/>
            </w:pPr>
            <w:r>
              <w:t>住所</w:t>
            </w:r>
          </w:p>
        </w:tc>
        <w:tc>
          <w:tcPr>
            <w:tcW w:w="3800" w:type="dxa"/>
            <w:vAlign w:val="center"/>
          </w:tcPr>
          <w:p>
            <w:pPr>
              <w:jc w:val="center"/>
            </w:pPr>
            <w: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郑州银行股份有限公司</w:t>
            </w:r>
          </w:p>
        </w:tc>
        <w:tc>
          <w:tcPr>
            <w:tcW w:w="1200" w:type="dxa"/>
            <w:vAlign w:val="center"/>
          </w:tcPr>
          <w:p>
            <w:pPr>
              <w:jc w:val="left"/>
            </w:pPr>
            <w:r>
              <w:t>住所</w:t>
            </w:r>
          </w:p>
        </w:tc>
        <w:tc>
          <w:tcPr>
            <w:tcW w:w="3800" w:type="dxa"/>
            <w:vAlign w:val="center"/>
          </w:tcPr>
          <w:p>
            <w:pPr>
              <w:jc w:val="center"/>
            </w:pPr>
            <w: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金华银行股份有限公司</w:t>
            </w:r>
          </w:p>
        </w:tc>
        <w:tc>
          <w:tcPr>
            <w:tcW w:w="1200" w:type="dxa"/>
            <w:vAlign w:val="center"/>
          </w:tcPr>
          <w:p>
            <w:pPr>
              <w:jc w:val="left"/>
            </w:pPr>
            <w:r>
              <w:t>住所</w:t>
            </w:r>
          </w:p>
        </w:tc>
        <w:tc>
          <w:tcPr>
            <w:tcW w:w="3800" w:type="dxa"/>
            <w:vAlign w:val="center"/>
          </w:tcPr>
          <w:p>
            <w:pPr>
              <w:jc w:val="center"/>
            </w:pPr>
            <w: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青岛农村商业银行股份有限公司</w:t>
            </w:r>
          </w:p>
        </w:tc>
        <w:tc>
          <w:tcPr>
            <w:tcW w:w="1200" w:type="dxa"/>
            <w:vAlign w:val="center"/>
          </w:tcPr>
          <w:p>
            <w:pPr>
              <w:jc w:val="left"/>
            </w:pPr>
            <w:r>
              <w:t>住所</w:t>
            </w:r>
          </w:p>
        </w:tc>
        <w:tc>
          <w:tcPr>
            <w:tcW w:w="3800" w:type="dxa"/>
            <w:vAlign w:val="center"/>
          </w:tcPr>
          <w:p>
            <w:pPr>
              <w:jc w:val="center"/>
            </w:pPr>
            <w:r>
              <w:t>青岛</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96668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青海西宁农村商业银行股份有限公司</w:t>
            </w:r>
          </w:p>
        </w:tc>
        <w:tc>
          <w:tcPr>
            <w:tcW w:w="1200" w:type="dxa"/>
            <w:vAlign w:val="center"/>
          </w:tcPr>
          <w:p>
            <w:pPr>
              <w:jc w:val="left"/>
            </w:pPr>
            <w:r>
              <w:t>住所</w:t>
            </w:r>
          </w:p>
        </w:tc>
        <w:tc>
          <w:tcPr>
            <w:tcW w:w="3800" w:type="dxa"/>
            <w:vAlign w:val="center"/>
          </w:tcPr>
          <w:p>
            <w:pPr>
              <w:jc w:val="center"/>
            </w:pPr>
            <w:r>
              <w:t>青海省西宁市城西区海晏路81号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0971-96888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本理财计划后续如新增/减少销售机构或销售机构信息变更，请以管理人最新公告或官方网站展示为准。</w:t>
      </w:r>
    </w:p>
    <w:p>
      <w:pPr>
        <w:spacing w:line="360" w:lineRule="auto"/>
        <w:jc w:val="left"/>
        <w:rPr>
          <w:rFonts w:ascii="宋体" w:hAnsi="宋体" w:cs="宋体"/>
          <w:bCs/>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估值</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估值日</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本理财计划估值日为每个工作日，定期由理财管理人和理财托管人核对估值结果并向投资者披露，具体日期以管理人公告为准。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估值对象</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估值目的</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估值方法</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szCs w:val="24"/>
          <w:highlight w:val="none"/>
        </w:rPr>
      </w:pPr>
      <w:r>
        <w:rPr>
          <w:rFonts w:hint="eastAsia"/>
          <w:color w:val="000000"/>
          <w:sz w:val="24"/>
          <w:szCs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货币市场工具类资产</w:t>
      </w:r>
    </w:p>
    <w:p>
      <w:pPr>
        <w:pStyle w:val="20"/>
        <w:adjustRightInd/>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银行存款及回购，以本金列示，按商定利率在实际持有期间内逐日计提利息。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债券及同业存单类资产</w:t>
      </w:r>
    </w:p>
    <w:p>
      <w:p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债券及同业存单类资产，按摊余成本法进行计量。</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基金、资产管理计划类资产</w:t>
      </w:r>
    </w:p>
    <w:p>
      <w:pPr>
        <w:spacing w:line="360" w:lineRule="auto"/>
        <w:ind w:firstLine="480" w:firstLineChars="200"/>
        <w:rPr>
          <w:rFonts w:hint="eastAsia" w:ascii="宋体" w:hAnsi="宋体"/>
          <w:sz w:val="24"/>
          <w:szCs w:val="24"/>
          <w:highlight w:val="none"/>
        </w:rPr>
      </w:pPr>
      <w:r>
        <w:rPr>
          <w:rFonts w:hint="eastAsia" w:ascii="宋体" w:hAnsi="宋体" w:cs="宋体"/>
          <w:bCs/>
          <w:color w:val="000000"/>
          <w:sz w:val="24"/>
          <w:szCs w:val="24"/>
          <w:highlight w:val="none"/>
        </w:rPr>
        <w:t>若合同约定估值方案，以基金、信托计划、资产管理计划的管理人提供的最新报价估值。报价包括资产的单位净值、每万份收益以及其他形式的投资收益。</w:t>
      </w:r>
    </w:p>
    <w:p>
      <w:p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其他资产的估值方法</w:t>
      </w:r>
    </w:p>
    <w:p>
      <w:pPr>
        <w:pStyle w:val="20"/>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其他资产存在公允价值的，按照监管要求进行公允价值估值，公允价值不能确定的按国家最新规定进行估值。</w:t>
      </w:r>
    </w:p>
    <w:p>
      <w:pPr>
        <w:pStyle w:val="20"/>
        <w:tabs>
          <w:tab w:val="left" w:pos="0"/>
        </w:tabs>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当理财计划管理人或托管人认为按上述方法对理财计划进行估值不能客观反映其公允价值的，可以在满足监管要求的前提下协商一致后，按最能反映公允价值的价格估值，并自协商一致日后执行。</w:t>
      </w:r>
    </w:p>
    <w:p>
      <w:pPr>
        <w:pStyle w:val="20"/>
        <w:tabs>
          <w:tab w:val="left" w:pos="0"/>
        </w:tabs>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偏离度管理</w:t>
      </w:r>
    </w:p>
    <w:p>
      <w:p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本理财计划为现金管理类产品，在确保理财计划资产净值能够公允地反映投 资组合价值的前提下，可采用摊余成本法对持有的投资组合进行会计核算。由于 按摊余成本法估值可能会出现估值对象的公允价值和摊余成本价偏离，为消除或 减少理财计划因资产净值背离导致投资者权益稀释或其他不公平的结果，在实际 操作中，管理人可以对理财计划资产净值按公允价值法定期进行重新评估，即“影子定价”。</w:t>
      </w:r>
    </w:p>
    <w:p>
      <w:pPr>
        <w:spacing w:line="480" w:lineRule="auto"/>
        <w:ind w:firstLine="480" w:firstLineChars="200"/>
        <w:jc w:val="left"/>
        <w:outlineLvl w:val="9"/>
        <w:rPr>
          <w:rFonts w:hint="eastAsia" w:ascii="宋体" w:hAnsi="宋体" w:cs="宋体"/>
          <w:bCs/>
          <w:color w:val="000000"/>
          <w:sz w:val="24"/>
          <w:szCs w:val="24"/>
          <w:highlight w:val="none"/>
        </w:rPr>
      </w:pPr>
      <w:r>
        <w:rPr>
          <w:rFonts w:ascii="宋体" w:hAnsi="宋体" w:cs="宋体"/>
          <w:color w:val="000000"/>
          <w:sz w:val="24"/>
          <w:szCs w:val="24"/>
          <w:highlight w:val="none"/>
        </w:rPr>
        <w:t>影子定价与摊余成本法确定的</w:t>
      </w:r>
      <w:r>
        <w:rPr>
          <w:rFonts w:hint="eastAsia" w:ascii="宋体" w:hAnsi="宋体" w:cs="宋体"/>
          <w:color w:val="000000"/>
          <w:sz w:val="24"/>
          <w:szCs w:val="24"/>
          <w:highlight w:val="none"/>
        </w:rPr>
        <w:t>理财计划</w:t>
      </w:r>
      <w:r>
        <w:rPr>
          <w:rFonts w:ascii="宋体" w:hAnsi="宋体" w:cs="宋体"/>
          <w:color w:val="000000"/>
          <w:sz w:val="24"/>
          <w:szCs w:val="24"/>
          <w:highlight w:val="none"/>
        </w:rPr>
        <w:t>资产净值的偏离度＝</w:t>
      </w:r>
      <w:r>
        <w:rPr>
          <w:rFonts w:ascii="宋体" w:hAnsi="宋体" w:cs="宋体"/>
          <w:color w:val="000000"/>
          <w:sz w:val="24"/>
          <w:szCs w:val="24"/>
          <w:highlight w:val="none"/>
        </w:rPr>
        <w:drawing>
          <wp:inline distT="0" distB="0" distL="114300" distR="114300">
            <wp:extent cx="647700" cy="302895"/>
            <wp:effectExtent l="0" t="0" r="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6"/>
                    <a:stretch>
                      <a:fillRect/>
                    </a:stretch>
                  </pic:blipFill>
                  <pic:spPr>
                    <a:xfrm>
                      <a:off x="0" y="0"/>
                      <a:ext cx="647700" cy="302895"/>
                    </a:xfrm>
                    <a:prstGeom prst="rect">
                      <a:avLst/>
                    </a:prstGeom>
                  </pic:spPr>
                </pic:pic>
              </a:graphicData>
            </a:graphic>
          </wp:inline>
        </w:drawing>
      </w:r>
      <w:r>
        <w:rPr>
          <w:rFonts w:ascii="宋体" w:hAnsi="宋体" w:cs="宋体"/>
          <w:color w:val="000000"/>
          <w:sz w:val="24"/>
          <w:szCs w:val="24"/>
          <w:highlight w:val="none"/>
        </w:rPr>
        <w:t>，其中，</w:t>
      </w:r>
      <w:r>
        <w:rPr>
          <w:rFonts w:ascii="Times New Roman" w:hAnsi="Times New Roman" w:eastAsia="Times New Roman" w:cs="Times New Roman"/>
          <w:i/>
          <w:iCs/>
          <w:color w:val="000000"/>
          <w:sz w:val="24"/>
          <w:szCs w:val="24"/>
          <w:highlight w:val="none"/>
        </w:rPr>
        <w:t>NAV</w:t>
      </w:r>
      <w:r>
        <w:rPr>
          <w:rFonts w:ascii="Times New Roman" w:hAnsi="Times New Roman" w:eastAsia="Times New Roman" w:cs="Times New Roman"/>
          <w:i/>
          <w:iCs/>
          <w:color w:val="000000"/>
          <w:position w:val="-6"/>
          <w:sz w:val="24"/>
          <w:szCs w:val="24"/>
          <w:highlight w:val="none"/>
        </w:rPr>
        <w:t>S</w:t>
      </w:r>
      <w:r>
        <w:rPr>
          <w:rFonts w:ascii="宋体" w:hAnsi="宋体" w:cs="宋体"/>
          <w:color w:val="000000"/>
          <w:sz w:val="24"/>
          <w:szCs w:val="24"/>
          <w:highlight w:val="none"/>
        </w:rPr>
        <w:t>为影子定价确定的资产净值，</w:t>
      </w:r>
      <w:r>
        <w:rPr>
          <w:rFonts w:ascii="Times New Roman" w:hAnsi="Times New Roman" w:eastAsia="Times New Roman" w:cs="Times New Roman"/>
          <w:i/>
          <w:iCs/>
          <w:color w:val="000000"/>
          <w:sz w:val="24"/>
          <w:szCs w:val="24"/>
          <w:highlight w:val="none"/>
        </w:rPr>
        <w:t>NAV</w:t>
      </w:r>
      <w:r>
        <w:rPr>
          <w:rFonts w:ascii="Times New Roman" w:hAnsi="Times New Roman" w:eastAsia="Times New Roman" w:cs="Times New Roman"/>
          <w:i/>
          <w:iCs/>
          <w:color w:val="000000"/>
          <w:position w:val="-5"/>
          <w:sz w:val="24"/>
          <w:szCs w:val="24"/>
          <w:highlight w:val="none"/>
        </w:rPr>
        <w:t>a</w:t>
      </w:r>
      <w:r>
        <w:rPr>
          <w:rFonts w:ascii="宋体" w:hAnsi="宋体" w:cs="宋体"/>
          <w:color w:val="000000"/>
          <w:sz w:val="24"/>
          <w:szCs w:val="24"/>
          <w:highlight w:val="none"/>
        </w:rPr>
        <w:t>为摊余成本法确定的资产净值。</w:t>
      </w:r>
    </w:p>
    <w:p>
      <w:p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当影子定价出现偏离，管理人可根据风险控制的需要做出如下调整：</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当正偏离度绝度值达到0.5%时，管理人将暂停接受认购并在5个交易日内将正偏离绝对值调整到0.5%以内。</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当负偏离度绝对值达到0.25%时，管理人将在5个交易日内将负偏离绝对值调整到0.25%以内。</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当负偏离度绝对值达到0.5%时，管理人将采取相应措施将负偏离绝对值控制在0.5%以内。</w:t>
      </w:r>
    </w:p>
    <w:p>
      <w:pPr>
        <w:numPr>
          <w:ilvl w:val="0"/>
          <w:numId w:val="26"/>
        </w:numPr>
        <w:spacing w:line="360" w:lineRule="auto"/>
        <w:ind w:firstLine="480" w:firstLineChars="200"/>
        <w:jc w:val="left"/>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当负偏离度绝对值连续两个交易日超过0.5%时，管理人将采用公允价值估值方法对持有投资组合的账面价值进行调整，或者采取暂停接受所有赎回申请并终止理财计划进行财产清算等措施。</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估值差错处理</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理财计划投资所涉及的交易市场遇法定节假日或因其他原因暂停营业时暂停估值，该种情况理财计划估值日期提前到上一交易日。</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前一估值日理财计划资产净值50%以上的资产不具备活跃交易市场或者在活跃市场中无报价，且不能采用估值技术可靠计量公允价值时，管理人应当暂停该理财计划估值，并按照监管规定采取延缓支付赎回款项或暂停接受理财计划认购、赎回申请等措施。</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资产账册的建立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20" w:firstLineChars="200"/>
        <w:jc w:val="left"/>
        <w:rPr>
          <w:rFonts w:hint="eastAsia" w:ascii="宋体" w:hAnsi="宋体" w:cs="宋体"/>
          <w:bCs/>
          <w:color w:val="000000"/>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费用种类</w:t>
      </w:r>
    </w:p>
    <w:p>
      <w:pPr>
        <w:spacing w:line="360" w:lineRule="auto"/>
        <w:ind w:firstLine="480" w:firstLineChars="200"/>
        <w:jc w:val="left"/>
        <w:rPr>
          <w:rFonts w:ascii="宋体" w:hAnsi="宋体" w:cs="宋体"/>
          <w:b/>
          <w:sz w:val="24"/>
          <w:szCs w:val="24"/>
          <w:highlight w:val="none"/>
        </w:rPr>
      </w:pPr>
      <w:r>
        <w:rPr>
          <w:rFonts w:hint="eastAsia" w:ascii="宋体" w:hAnsi="宋体" w:cs="宋体"/>
          <w:bCs/>
          <w:color w:val="000000"/>
          <w:sz w:val="24"/>
          <w:szCs w:val="24"/>
          <w:highlight w:val="none"/>
        </w:rPr>
        <w:t>本理财计划涉及费用包括销售服务费、托管费、固定管理费、认购费、申购费、赎回费、浮动管理费以及理财计划运作和清算中产生的其他费用等。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理财计划财产的年化销售服务费率为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CN"/>
        </w:rPr>
        <w:t>当</w:t>
      </w:r>
      <w:r>
        <w:rPr>
          <w:rFonts w:hint="eastAsia" w:ascii="宋体" w:hAnsi="宋体" w:cs="宋体"/>
          <w:bCs/>
          <w:color w:val="000000"/>
          <w:sz w:val="24"/>
          <w:szCs w:val="24"/>
          <w:highlight w:val="none"/>
        </w:rPr>
        <w:t>日</w:t>
      </w:r>
      <w:r>
        <w:rPr>
          <w:rFonts w:hint="eastAsia" w:ascii="宋体" w:hAnsi="宋体" w:cs="宋体"/>
          <w:bCs/>
          <w:color w:val="000000"/>
          <w:sz w:val="24"/>
          <w:szCs w:val="24"/>
          <w:highlight w:val="none"/>
          <w:lang w:eastAsia="zh-CN"/>
        </w:rPr>
        <w:t>费前</w:t>
      </w:r>
      <w:r>
        <w:rPr>
          <w:rFonts w:hint="eastAsia" w:ascii="宋体" w:hAnsi="宋体" w:cs="宋体"/>
          <w:bCs/>
          <w:color w:val="000000"/>
          <w:sz w:val="24"/>
          <w:szCs w:val="24"/>
          <w:highlight w:val="none"/>
        </w:rPr>
        <w:t>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销售服务费原则上按日计提。</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CN"/>
        </w:rPr>
        <w:t>当</w:t>
      </w:r>
      <w:r>
        <w:rPr>
          <w:rFonts w:hint="eastAsia" w:ascii="宋体" w:hAnsi="宋体" w:cs="宋体"/>
          <w:bCs/>
          <w:color w:val="000000"/>
          <w:sz w:val="24"/>
          <w:szCs w:val="24"/>
          <w:highlight w:val="none"/>
        </w:rPr>
        <w:t>日</w:t>
      </w:r>
      <w:r>
        <w:rPr>
          <w:rFonts w:hint="eastAsia" w:ascii="宋体" w:hAnsi="宋体" w:cs="宋体"/>
          <w:bCs/>
          <w:color w:val="000000"/>
          <w:sz w:val="24"/>
          <w:szCs w:val="24"/>
          <w:highlight w:val="none"/>
          <w:lang w:eastAsia="zh-CN"/>
        </w:rPr>
        <w:t>费前</w:t>
      </w:r>
      <w:r>
        <w:rPr>
          <w:rFonts w:hint="eastAsia" w:ascii="宋体" w:hAnsi="宋体" w:cs="宋体"/>
          <w:bCs/>
          <w:color w:val="000000"/>
          <w:sz w:val="24"/>
          <w:szCs w:val="24"/>
          <w:highlight w:val="none"/>
        </w:rPr>
        <w:t>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理财计划财产的年化固定管理费率为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CN"/>
        </w:rPr>
        <w:t>当</w:t>
      </w:r>
      <w:r>
        <w:rPr>
          <w:rFonts w:hint="eastAsia" w:ascii="宋体" w:hAnsi="宋体" w:cs="宋体"/>
          <w:bCs/>
          <w:color w:val="000000"/>
          <w:sz w:val="24"/>
          <w:szCs w:val="24"/>
          <w:highlight w:val="none"/>
        </w:rPr>
        <w:t>日</w:t>
      </w:r>
      <w:r>
        <w:rPr>
          <w:rFonts w:hint="eastAsia" w:ascii="宋体" w:hAnsi="宋体" w:cs="宋体"/>
          <w:bCs/>
          <w:color w:val="000000"/>
          <w:sz w:val="24"/>
          <w:szCs w:val="24"/>
          <w:highlight w:val="none"/>
          <w:lang w:eastAsia="zh-CN"/>
        </w:rPr>
        <w:t>费前</w:t>
      </w:r>
      <w:r>
        <w:rPr>
          <w:rFonts w:hint="eastAsia" w:ascii="宋体" w:hAnsi="宋体" w:cs="宋体"/>
          <w:bCs/>
          <w:color w:val="000000"/>
          <w:sz w:val="24"/>
          <w:szCs w:val="24"/>
          <w:highlight w:val="none"/>
        </w:rPr>
        <w:t>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固定管理费原则上按日计提，</w:t>
      </w:r>
      <w:r>
        <w:rPr>
          <w:rFonts w:hint="eastAsia" w:ascii="宋体" w:hAnsi="宋体" w:cs="宋体"/>
          <w:bCs/>
          <w:color w:val="000000"/>
          <w:sz w:val="24"/>
          <w:szCs w:val="24"/>
          <w:highlight w:val="none"/>
          <w:lang w:eastAsia="zh-CN"/>
        </w:rPr>
        <w:t>管理人有权</w:t>
      </w:r>
      <w:r>
        <w:rPr>
          <w:rFonts w:hint="eastAsia" w:ascii="宋体" w:hAnsi="宋体" w:cs="宋体"/>
          <w:bCs/>
          <w:color w:val="000000"/>
          <w:sz w:val="24"/>
          <w:szCs w:val="24"/>
          <w:highlight w:val="none"/>
          <w:lang w:val="en-US" w:eastAsia="zh-CN"/>
        </w:rPr>
        <w:t>根据实际运作情况</w:t>
      </w:r>
      <w:r>
        <w:rPr>
          <w:rFonts w:hint="eastAsia" w:ascii="宋体" w:hAnsi="宋体" w:cs="宋体"/>
          <w:bCs/>
          <w:color w:val="000000"/>
          <w:sz w:val="24"/>
          <w:szCs w:val="24"/>
          <w:highlight w:val="none"/>
          <w:lang w:eastAsia="zh-CN"/>
        </w:rPr>
        <w:t>减免固定管理费。</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认购费</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本理财计划免除认购费。</w:t>
      </w:r>
    </w:p>
    <w:p>
      <w:pPr>
        <w:numPr>
          <w:ilvl w:val="0"/>
          <w:numId w:val="3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申购费</w:t>
      </w:r>
    </w:p>
    <w:p>
      <w:pPr>
        <w:spacing w:line="360" w:lineRule="auto"/>
        <w:ind w:firstLine="480" w:firstLineChars="200"/>
        <w:jc w:val="left"/>
        <w:rPr>
          <w:rFonts w:ascii="宋体" w:hAnsi="宋体" w:cs="宋体"/>
          <w:b/>
          <w:color w:val="FF0000"/>
          <w:sz w:val="24"/>
          <w:szCs w:val="24"/>
          <w:highlight w:val="none"/>
        </w:rPr>
      </w:pPr>
      <w:r>
        <w:rPr>
          <w:rFonts w:hint="eastAsia" w:ascii="宋体" w:hAnsi="宋体" w:cs="宋体"/>
          <w:bCs/>
          <w:color w:val="000000"/>
          <w:sz w:val="24"/>
          <w:szCs w:val="24"/>
          <w:highlight w:val="none"/>
        </w:rPr>
        <w:t>本理财计划免除申购费。</w:t>
      </w:r>
    </w:p>
    <w:p>
      <w:pPr>
        <w:numPr>
          <w:ilvl w:val="0"/>
          <w:numId w:val="3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赎回费</w:t>
      </w:r>
    </w:p>
    <w:p>
      <w:pPr>
        <w:spacing w:line="360" w:lineRule="auto"/>
        <w:ind w:firstLine="480" w:firstLineChars="200"/>
        <w:jc w:val="left"/>
        <w:rPr>
          <w:rFonts w:hint="eastAsia" w:ascii="宋体" w:hAnsi="宋体" w:cs="宋体"/>
          <w:b/>
          <w:color w:val="FF0000"/>
          <w:sz w:val="24"/>
          <w:szCs w:val="24"/>
          <w:highlight w:val="none"/>
        </w:rPr>
      </w:pPr>
      <w:r>
        <w:rPr>
          <w:rFonts w:hint="eastAsia" w:ascii="宋体" w:hAnsi="宋体" w:cs="宋体"/>
          <w:bCs/>
          <w:color w:val="000000"/>
          <w:sz w:val="24"/>
          <w:szCs w:val="24"/>
          <w:highlight w:val="none"/>
        </w:rPr>
        <w:t>本理财计划免除赎回费（不包含强制赎回费）。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浮动管理费</w:t>
      </w:r>
    </w:p>
    <w:p>
      <w:pPr>
        <w:spacing w:line="360" w:lineRule="auto"/>
        <w:ind w:firstLine="480" w:firstLineChars="200"/>
        <w:jc w:val="left"/>
        <w:rPr>
          <w:rFonts w:hint="eastAsia" w:ascii="宋体" w:hAnsi="宋体" w:cs="宋体"/>
          <w:b/>
          <w:color w:val="FF0000"/>
          <w:sz w:val="24"/>
          <w:szCs w:val="24"/>
          <w:highlight w:val="none"/>
        </w:rPr>
      </w:pPr>
      <w:r>
        <w:rPr>
          <w:rFonts w:hint="eastAsia" w:ascii="宋体" w:hAnsi="宋体" w:cs="宋体"/>
          <w:bCs/>
          <w:color w:val="000000"/>
          <w:sz w:val="24"/>
          <w:szCs w:val="24"/>
          <w:highlight w:val="none"/>
        </w:rPr>
        <w:t>本理财计划免除</w:t>
      </w:r>
      <w:r>
        <w:rPr>
          <w:rFonts w:hint="eastAsia" w:ascii="宋体" w:hAnsi="宋体" w:cs="宋体"/>
          <w:bCs/>
          <w:color w:val="000000"/>
          <w:sz w:val="24"/>
          <w:szCs w:val="24"/>
          <w:highlight w:val="none"/>
          <w:lang w:eastAsia="zh-CN"/>
        </w:rPr>
        <w:t>浮动管理</w:t>
      </w:r>
      <w:r>
        <w:rPr>
          <w:rFonts w:hint="eastAsia" w:ascii="宋体" w:hAnsi="宋体" w:cs="宋体"/>
          <w:bCs/>
          <w:color w:val="000000"/>
          <w:sz w:val="24"/>
          <w:szCs w:val="24"/>
          <w:highlight w:val="none"/>
        </w:rPr>
        <w:t>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强制赎回费（如有）</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本理财计划符合以下条件，管理人有权收取强制赎回费：</w:t>
      </w:r>
    </w:p>
    <w:p>
      <w:pPr>
        <w:numPr>
          <w:ilvl w:val="0"/>
          <w:numId w:val="32"/>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理财计划持有的现金、国债、中央银行票据、政策性金融债券以及5个交易日内到期的其他金融工具占理财计划资产净值的比例合计低于5%且偏离度为负时，管理人有权对当日单个投资者申请赎回份额超过理财计划总份额1%以上的赎回申请收取1%的强制赎回费。</w:t>
      </w:r>
    </w:p>
    <w:p>
      <w:pPr>
        <w:numPr>
          <w:ilvl w:val="0"/>
          <w:numId w:val="32"/>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前10名投资者的持有份额合计超过理财计划总份额的50%时，当投资组合中现金、国债、中央银行票据、政策性金融债券以及5个交易日内到期的其他金融工具占理财计划资产净值的比例合计低于10%且偏离度为负时，管理人有权对投资者超过理财计划总份额1%以上的赎回申请收取1%的强制赎回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其他费用</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审计费、律师费、公证费等费用。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监管规定的其他费用。</w:t>
      </w:r>
    </w:p>
    <w:p>
      <w:pPr>
        <w:spacing w:line="360" w:lineRule="auto"/>
        <w:ind w:firstLine="482" w:firstLineChars="200"/>
        <w:jc w:val="left"/>
        <w:rPr>
          <w:rFonts w:ascii="宋体" w:hAnsi="宋体" w:cs="宋体"/>
          <w:bCs/>
          <w:sz w:val="24"/>
          <w:szCs w:val="24"/>
          <w:highlight w:val="none"/>
        </w:rPr>
      </w:pPr>
      <w:r>
        <w:rPr>
          <w:rFonts w:hint="eastAsia" w:ascii="宋体" w:hAnsi="宋体" w:cs="宋体"/>
          <w:b/>
          <w:color w:val="000000"/>
          <w:sz w:val="24"/>
          <w:szCs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税收说明</w:t>
      </w:r>
    </w:p>
    <w:p>
      <w:pPr>
        <w:numPr>
          <w:ilvl w:val="0"/>
          <w:numId w:val="35"/>
        </w:numPr>
        <w:spacing w:line="360" w:lineRule="auto"/>
        <w:ind w:firstLine="480" w:firstLineChars="200"/>
        <w:jc w:val="left"/>
        <w:rPr>
          <w:sz w:val="24"/>
          <w:szCs w:val="24"/>
          <w:highlight w:val="none"/>
        </w:rPr>
      </w:pPr>
      <w:r>
        <w:rPr>
          <w:rFonts w:hint="eastAsia" w:ascii="宋体" w:hAnsi="宋体" w:cs="宋体"/>
          <w:bCs/>
          <w:color w:val="000000"/>
          <w:sz w:val="24"/>
          <w:szCs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szCs w:val="24"/>
          <w:highlight w:val="none"/>
        </w:rPr>
      </w:pPr>
      <w:r>
        <w:rPr>
          <w:rFonts w:hint="eastAsia" w:ascii="宋体" w:hAnsi="宋体" w:cs="宋体"/>
          <w:bCs/>
          <w:color w:val="000000"/>
          <w:sz w:val="24"/>
          <w:szCs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理财收益说明</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投资者自认购/申购份额确认当日开始享有相应份额的收益分配权益；自赎回确认当日开始不再享有相应份额的收益分配权益。</w:t>
      </w:r>
    </w:p>
    <w:p>
      <w:pPr>
        <w:spacing w:line="360" w:lineRule="auto"/>
        <w:ind w:firstLine="480" w:firstLineChars="200"/>
        <w:jc w:val="left"/>
        <w:rPr>
          <w:rFonts w:ascii="宋体" w:hAnsi="宋体" w:cs="宋体"/>
          <w:bCs/>
          <w:color w:val="FF0000"/>
          <w:sz w:val="24"/>
          <w:szCs w:val="24"/>
          <w:highlight w:val="none"/>
        </w:rPr>
      </w:pPr>
      <w:r>
        <w:rPr>
          <w:rFonts w:hint="eastAsia" w:ascii="宋体" w:hAnsi="宋体" w:cs="宋体"/>
          <w:bCs/>
          <w:color w:val="000000"/>
          <w:sz w:val="24"/>
          <w:szCs w:val="24"/>
          <w:highlight w:val="none"/>
        </w:rPr>
        <w:t>理财计划存续期间，以当日每万份理财计划收益为基准，每日为投资者计算当日理财收益并进行分配，结转为理财计划份额。如投资者的当日收益为正，则为投资者增加相应的理财计划份额；如投资者的当日收益为零，则投资者份额不变；如投资者的当日收益为负，则为投资者核减相应的理财计划份额。投资者当日收益分配的计算保留到小数点后2位，小数点后第3位按去尾法处理，因去尾形成的余额进行再次分配，直到分完为止。</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计算公式</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投资者当日理财收益＝投资者当日持有份额</w:t>
      </w:r>
      <w:r>
        <w:rPr>
          <w:rFonts w:ascii="宋体" w:hAnsi="宋体" w:cs="宋体"/>
          <w:bCs/>
          <w:color w:val="000000"/>
          <w:sz w:val="24"/>
          <w:szCs w:val="24"/>
          <w:highlight w:val="none"/>
        </w:rPr>
        <w:t>×</w:t>
      </w:r>
      <w:r>
        <w:rPr>
          <w:rFonts w:hint="eastAsia" w:ascii="宋体" w:hAnsi="宋体" w:cs="宋体"/>
          <w:bCs/>
          <w:color w:val="000000"/>
          <w:sz w:val="24"/>
          <w:szCs w:val="24"/>
          <w:highlight w:val="none"/>
        </w:rPr>
        <w:t>每万份理财计划收益÷10000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投资者当日持有份额=投资者上一日持有份额+上一日结转份额＋投资者当日申购确认份额－投资者当日赎回确认份额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当日每万份理财计划收益=(当日资产组合投资收益-当日理财计划托管费-当日理财计划固定管理费-当日理财计划销售服务费-其他税费)÷当日理财计划份额</w:t>
      </w:r>
      <w:r>
        <w:rPr>
          <w:rFonts w:ascii="宋体" w:hAnsi="宋体" w:cs="宋体"/>
          <w:bCs/>
          <w:color w:val="000000"/>
          <w:sz w:val="24"/>
          <w:szCs w:val="24"/>
          <w:highlight w:val="none"/>
        </w:rPr>
        <w:t>×</w:t>
      </w:r>
      <w:r>
        <w:rPr>
          <w:rFonts w:hint="eastAsia" w:ascii="宋体" w:hAnsi="宋体" w:cs="宋体"/>
          <w:bCs/>
          <w:color w:val="000000"/>
          <w:sz w:val="24"/>
          <w:szCs w:val="24"/>
          <w:highlight w:val="none"/>
        </w:rPr>
        <w:t>10000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当日理财计划份额=上一日理财计划份额＋上一日理财计划结转份额＋当日申购确认理财计划份额－当日赎回确认理财计划份额</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按日结转份额的七日年化收益率=</w:t>
      </w:r>
      <w:r>
        <w:rPr>
          <w:color w:val="000000"/>
          <w:position w:val="-41"/>
          <w:sz w:val="24"/>
          <w:szCs w:val="24"/>
          <w:highlight w:val="none"/>
        </w:rPr>
        <w:drawing>
          <wp:inline distT="0" distB="0" distL="114300" distR="114300">
            <wp:extent cx="1651000" cy="634365"/>
            <wp:effectExtent l="0" t="0" r="6350" b="13335"/>
            <wp:docPr id="11" name="IM 92"/>
            <wp:cNvGraphicFramePr/>
            <a:graphic xmlns:a="http://schemas.openxmlformats.org/drawingml/2006/main">
              <a:graphicData uri="http://schemas.openxmlformats.org/drawingml/2006/picture">
                <pic:pic xmlns:pic="http://schemas.openxmlformats.org/drawingml/2006/picture">
                  <pic:nvPicPr>
                    <pic:cNvPr id="11" name="IM 92"/>
                    <pic:cNvPicPr/>
                  </pic:nvPicPr>
                  <pic:blipFill>
                    <a:blip r:embed="rId7"/>
                    <a:stretch>
                      <a:fillRect/>
                    </a:stretch>
                  </pic:blipFill>
                  <pic:spPr>
                    <a:xfrm>
                      <a:off x="0" y="0"/>
                      <a:ext cx="1651000" cy="634365"/>
                    </a:xfrm>
                    <a:prstGeom prst="rect">
                      <a:avLst/>
                    </a:prstGeom>
                    <a:noFill/>
                    <a:ln>
                      <a:noFill/>
                    </a:ln>
                  </pic:spPr>
                </pic:pic>
              </a:graphicData>
            </a:graphic>
          </wp:inline>
        </w:drawing>
      </w:r>
      <w:r>
        <w:rPr>
          <w:color w:val="000000"/>
          <w:spacing w:val="-5"/>
          <w:position w:val="3"/>
          <w:sz w:val="24"/>
          <w:szCs w:val="24"/>
          <w:highlight w:val="none"/>
        </w:rPr>
        <w:t>×</w:t>
      </w:r>
      <w:r>
        <w:rPr>
          <w:color w:val="000000"/>
          <w:spacing w:val="-39"/>
          <w:position w:val="3"/>
          <w:sz w:val="24"/>
          <w:szCs w:val="24"/>
          <w:highlight w:val="none"/>
        </w:rPr>
        <w:t xml:space="preserve"> </w:t>
      </w:r>
      <w:r>
        <w:rPr>
          <w:rFonts w:ascii="Times New Roman" w:hAnsi="Times New Roman" w:eastAsia="Times New Roman" w:cs="Times New Roman"/>
          <w:color w:val="000000"/>
          <w:spacing w:val="-5"/>
          <w:position w:val="3"/>
          <w:sz w:val="24"/>
          <w:szCs w:val="24"/>
          <w:highlight w:val="none"/>
        </w:rPr>
        <w:t>100%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Ri为最近第i个自然日的当日每万份理财计划收益。七日年化收益率采取四舍五入后精确到小数点后4位。</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投资者总收益＝自理财计划申购确认日（或成立日）当日（含当日）起至赎回确认日或理财计划到期日（提前终止日）（不含当日）止期间相应投资者理财收益总和</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其中，投资者当日持有份额以管理人理财系统完成当日清算后记录的份额为准；投资者当日理财收益计算结果按去尾法保留两位小数。</w:t>
      </w:r>
    </w:p>
    <w:p>
      <w:pPr>
        <w:numPr>
          <w:ilvl w:val="0"/>
          <w:numId w:val="36"/>
        </w:numPr>
        <w:spacing w:line="360" w:lineRule="auto"/>
        <w:jc w:val="left"/>
        <w:outlineLvl w:val="2"/>
        <w:rPr>
          <w:rFonts w:hint="eastAsia" w:ascii="宋体" w:hAnsi="宋体" w:cs="宋体"/>
          <w:bCs/>
          <w:color w:val="000000"/>
          <w:sz w:val="24"/>
          <w:szCs w:val="24"/>
          <w:highlight w:val="none"/>
        </w:rPr>
      </w:pPr>
      <w:r>
        <w:rPr>
          <w:rFonts w:hint="eastAsia" w:ascii="宋体" w:hAnsi="宋体" w:cs="宋体"/>
          <w:b/>
          <w:color w:val="000000"/>
          <w:sz w:val="24"/>
          <w:szCs w:val="24"/>
          <w:highlight w:val="none"/>
        </w:rPr>
        <w:t>示例说明</w:t>
      </w:r>
    </w:p>
    <w:p>
      <w:pPr>
        <w:spacing w:line="360" w:lineRule="auto"/>
        <w:ind w:left="42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以下示例均为假设情况，不构成业绩预测，不代表本理财计划实际投资业绩。</w:t>
      </w:r>
    </w:p>
    <w:p>
      <w:pPr>
        <w:numPr>
          <w:ilvl w:val="0"/>
          <w:numId w:val="37"/>
        </w:numPr>
        <w:spacing w:line="360" w:lineRule="auto"/>
        <w:ind w:firstLine="482" w:firstLineChars="200"/>
        <w:jc w:val="left"/>
        <w:rPr>
          <w:rFonts w:hint="eastAsia" w:ascii="宋体" w:hAnsi="宋体" w:cs="宋体"/>
          <w:b/>
          <w:color w:val="000000"/>
          <w:sz w:val="24"/>
          <w:szCs w:val="24"/>
          <w:highlight w:val="none"/>
        </w:rPr>
      </w:pPr>
      <w:r>
        <w:rPr>
          <w:rFonts w:hint="eastAsia" w:ascii="宋体" w:hAnsi="宋体" w:cs="宋体"/>
          <w:b/>
          <w:color w:val="000000"/>
          <w:sz w:val="24"/>
          <w:szCs w:val="24"/>
          <w:highlight w:val="none"/>
        </w:rPr>
        <w:t>示例一</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以某投资者投资10万元为例，假设当日每万分理财计划收益为0.9590，则该投资者的当日理财计划收益为：</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100,000.00×0.9590÷10，000.00=9.59（元）</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投资者当日结转份额为：</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9.59÷1.0000=9.59（份）</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本金及理财收益支付</w:t>
      </w:r>
    </w:p>
    <w:p>
      <w:pPr>
        <w:numPr>
          <w:ilvl w:val="0"/>
          <w:numId w:val="38"/>
        </w:numPr>
        <w:spacing w:line="360" w:lineRule="auto"/>
        <w:ind w:left="420" w:leftChars="200"/>
        <w:jc w:val="left"/>
        <w:outlineLvl w:val="9"/>
        <w:rPr>
          <w:rFonts w:hint="eastAsia" w:ascii="宋体" w:hAnsi="宋体" w:cs="宋体"/>
          <w:b/>
          <w:color w:val="000000"/>
          <w:sz w:val="24"/>
          <w:szCs w:val="24"/>
          <w:highlight w:val="none"/>
        </w:rPr>
      </w:pPr>
      <w:r>
        <w:rPr>
          <w:rFonts w:hint="eastAsia" w:ascii="宋体" w:hAnsi="宋体" w:cs="宋体"/>
          <w:b/>
          <w:color w:val="000000"/>
          <w:sz w:val="24"/>
          <w:szCs w:val="24"/>
          <w:highlight w:val="none"/>
        </w:rPr>
        <w:t>理财计划收益结转，提前终止的本金及收益支付</w:t>
      </w:r>
    </w:p>
    <w:p>
      <w:pPr>
        <w:numPr>
          <w:ilvl w:val="0"/>
          <w:numId w:val="39"/>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若投资者未赎回理财计划，管理人每日为投资者计算当日收益，并将该收益结转为理财计划份额。</w:t>
      </w:r>
    </w:p>
    <w:p>
      <w:pPr>
        <w:numPr>
          <w:ilvl w:val="0"/>
          <w:numId w:val="39"/>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若理财计划提前终止，管理人将投资者在提前终止日所持有的理财计划份额对应的本金与理财收益于提前终止日后的3个〖工作日〗内划转至投资者指定理财账户。</w:t>
      </w:r>
    </w:p>
    <w:p>
      <w:pPr>
        <w:numPr>
          <w:ilvl w:val="0"/>
          <w:numId w:val="38"/>
        </w:numPr>
        <w:spacing w:line="360" w:lineRule="auto"/>
        <w:ind w:left="420" w:leftChars="200"/>
        <w:jc w:val="left"/>
        <w:outlineLvl w:val="9"/>
        <w:rPr>
          <w:rFonts w:hint="eastAsia" w:ascii="宋体" w:hAnsi="宋体" w:cs="宋体"/>
          <w:b/>
          <w:color w:val="000000"/>
          <w:sz w:val="24"/>
          <w:szCs w:val="24"/>
          <w:highlight w:val="none"/>
        </w:rPr>
      </w:pPr>
      <w:r>
        <w:rPr>
          <w:rFonts w:hint="eastAsia" w:ascii="宋体" w:hAnsi="宋体" w:cs="宋体"/>
          <w:b/>
          <w:color w:val="000000"/>
          <w:sz w:val="24"/>
          <w:szCs w:val="24"/>
          <w:highlight w:val="none"/>
        </w:rPr>
        <w:t>理财计划赎回时的本金及收益支付</w:t>
      </w:r>
    </w:p>
    <w:p>
      <w:pPr>
        <w:numPr>
          <w:ilvl w:val="0"/>
          <w:numId w:val="40"/>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全部赎回时的本金及收益支付：投资者申请全部赎回理财计划时，理财计划份额对应的理财收益于赎回日当晚清算后正常结转为份额，管理人在赎回确认日当日将投资者持有的理财计划份额对应的资金划转至投资者指定理财账户。投资者赎回的理财份额于赎回确认当日不再享有对应的理财收益。</w:t>
      </w:r>
    </w:p>
    <w:p>
      <w:pPr>
        <w:numPr>
          <w:ilvl w:val="0"/>
          <w:numId w:val="40"/>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部分赎回时的本金及收益支付：投资者申请部分赎回理财计划时，部分赎回的理财计划份额对应的理财收益于赎回日当晚清算后正常结转为份额，管理人在赎回确认日当日将投资者申请赎回的理财计划份额对应的资金划转至投资者指定理财账户。部分赎回后投资者持有本理财计划的实时余额不得低于0.01份。</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示例：a.假设投资者持有理财计划20万份，若投资者在理财计划某一开放日申请赎回10万份，则赎回确认日当日，管理人将10万元资金划转至投资者指定账户。该部分收益（申请赎回的10万份理财计划份额在赎回日产生的理财收益）在赎回日当晚清算后正常结转为份额继续留存。</w:t>
      </w:r>
    </w:p>
    <w:p>
      <w:pPr>
        <w:spacing w:line="360" w:lineRule="auto"/>
        <w:ind w:firstLine="480" w:firstLineChars="200"/>
        <w:jc w:val="left"/>
        <w:rPr>
          <w:rFonts w:ascii="宋体" w:hAnsi="宋体" w:cs="宋体"/>
          <w:b/>
          <w:color w:val="000000"/>
          <w:sz w:val="24"/>
          <w:szCs w:val="24"/>
          <w:highlight w:val="none"/>
        </w:rPr>
      </w:pPr>
      <w:r>
        <w:rPr>
          <w:rFonts w:hint="eastAsia" w:ascii="宋体" w:hAnsi="宋体" w:cs="宋体"/>
          <w:bCs/>
          <w:color w:val="000000"/>
          <w:sz w:val="24"/>
          <w:szCs w:val="24"/>
          <w:highlight w:val="none"/>
        </w:rPr>
        <w:t>b.假设投资者持有理财计划10万份，若投资者选择全额赎回，管理人在赎回确认日当日将投资者持有的全部10万份份额对应的资金划转至投资者指定理财账户，赎回日当晚清算后收益正常结转的份额，根据销售机构的要求进行相应的份额处理。</w:t>
      </w:r>
    </w:p>
    <w:p>
      <w:pPr>
        <w:spacing w:line="360" w:lineRule="auto"/>
        <w:ind w:firstLine="482" w:firstLineChars="200"/>
        <w:jc w:val="left"/>
        <w:outlineLvl w:val="9"/>
        <w:rPr>
          <w:rFonts w:ascii="宋体" w:hAnsi="宋体" w:cs="宋体"/>
          <w:b/>
          <w:color w:val="FF0000"/>
          <w:sz w:val="24"/>
          <w:szCs w:val="24"/>
          <w:highlight w:val="none"/>
        </w:rPr>
      </w:pPr>
      <w:r>
        <w:rPr>
          <w:rFonts w:hint="eastAsia" w:ascii="宋体" w:hAnsi="宋体" w:cs="宋体"/>
          <w:b/>
          <w:color w:val="000000"/>
          <w:sz w:val="24"/>
          <w:szCs w:val="24"/>
          <w:highlight w:val="none"/>
        </w:rPr>
        <w:t>3. 理财计划终止或提前终止时，管理人将尽快变现非现金类资产，并将变现后的非现金类资产扣除应承担的费用后向本理财计划投资者支付。相应的分配方案将通过管理人或销售机构官网公告。</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最不利情况分析</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由于市场波动导致投资资产贬值或者投资资产发生信用风险导致相应损失，使理财计划赎回或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交易规则</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认购</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具体以销售机构要求为准）</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理财计划认购期内，投资者可以对本理财计划进行认购、追加、撤单，相应投资资金将在投资者指定账户中冻结。</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如新增认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成立</w:t>
      </w:r>
    </w:p>
    <w:p>
      <w:pPr>
        <w:numPr>
          <w:ilvl w:val="0"/>
          <w:numId w:val="43"/>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销售机构有权以投资者的投资金额为限从投资者理财账户中进行资金扣划，无需投资者另行授权。</w:t>
      </w:r>
    </w:p>
    <w:p>
      <w:pPr>
        <w:numPr>
          <w:ilvl w:val="0"/>
          <w:numId w:val="43"/>
        </w:numPr>
        <w:spacing w:line="360" w:lineRule="auto"/>
        <w:ind w:firstLine="480" w:firstLineChars="200"/>
        <w:jc w:val="left"/>
        <w:rPr>
          <w:rFonts w:hint="eastAsia" w:ascii="宋体" w:hAnsi="宋体" w:cs="宋体"/>
          <w:b/>
          <w:sz w:val="24"/>
          <w:szCs w:val="24"/>
          <w:highlight w:val="none"/>
        </w:rPr>
      </w:pPr>
      <w:r>
        <w:rPr>
          <w:rFonts w:hint="eastAsia" w:ascii="宋体" w:hAnsi="宋体" w:cs="宋体"/>
          <w:bCs/>
          <w:color w:val="000000"/>
          <w:sz w:val="24"/>
          <w:szCs w:val="24"/>
          <w:highlight w:val="none"/>
        </w:rPr>
        <w:t>管理人将在理财计划成立日对认购期的认购及追加申请进行确认和划款。</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申购及赎回</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交易确认及时间</w:t>
      </w:r>
    </w:p>
    <w:p>
      <w:pPr>
        <w:numPr>
          <w:ilvl w:val="0"/>
          <w:numId w:val="45"/>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本理财计划在每个开放日的工作时间可进行申购和赎回，申购和赎回申请将在确认日进行确认，即开放日后的第〖1〗个〖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〗进行确认。</w:t>
      </w:r>
    </w:p>
    <w:p>
      <w:pPr>
        <w:keepNext w:val="0"/>
        <w:keepLines w:val="0"/>
        <w:widowControl w:val="0"/>
        <w:numPr>
          <w:ilvl w:val="0"/>
          <w:numId w:val="45"/>
        </w:numPr>
        <w:suppressLineNumbers w:val="0"/>
        <w:spacing w:before="0" w:beforeAutospacing="0" w:after="0" w:afterAutospacing="0" w:line="360" w:lineRule="auto"/>
        <w:ind w:left="0" w:right="0" w:firstLine="480" w:firstLineChars="200"/>
        <w:jc w:val="both"/>
        <w:rPr>
          <w:rFonts w:ascii="宋体" w:hAnsi="宋体" w:cs="宋体"/>
          <w:bCs/>
          <w:sz w:val="24"/>
          <w:szCs w:val="24"/>
          <w:highlight w:val="none"/>
        </w:rPr>
      </w:pPr>
      <w:r>
        <w:rPr>
          <w:rFonts w:hint="eastAsia" w:ascii="宋体" w:hAnsi="宋体" w:cs="宋体"/>
          <w:bCs/>
          <w:color w:val="000000"/>
          <w:sz w:val="24"/>
          <w:szCs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w:t>
      </w:r>
      <w:r>
        <w:rPr>
          <w:rFonts w:hint="eastAsia" w:ascii="宋体" w:hAnsi="宋体" w:cs="宋体"/>
          <w:bCs/>
          <w:color w:val="000000"/>
          <w:kern w:val="2"/>
          <w:sz w:val="24"/>
          <w:szCs w:val="24"/>
          <w:highlight w:val="none"/>
          <w:lang w:val="en-US" w:eastAsia="zh-CN" w:bidi="ar-SA"/>
        </w:rPr>
        <w:t>0</w:t>
      </w:r>
      <w:r>
        <w:rPr>
          <w:rFonts w:hint="eastAsia" w:ascii="宋体" w:hAnsi="宋体" w:cs="宋体"/>
          <w:bCs/>
          <w:color w:val="000000"/>
          <w:sz w:val="24"/>
          <w:szCs w:val="24"/>
          <w:highlight w:val="none"/>
        </w:rPr>
        <w:t>:00〗至〖</w:t>
      </w:r>
      <w:r>
        <w:rPr>
          <w:rFonts w:hint="eastAsia" w:ascii="宋体" w:hAnsi="宋体" w:cs="宋体"/>
          <w:bCs/>
          <w:color w:val="000000"/>
          <w:kern w:val="2"/>
          <w:sz w:val="24"/>
          <w:szCs w:val="24"/>
          <w:highlight w:val="none"/>
          <w:lang w:val="en-US" w:eastAsia="zh-CN" w:bidi="ar-SA"/>
        </w:rPr>
        <w:t>24</w:t>
      </w:r>
      <w:r>
        <w:rPr>
          <w:rFonts w:hint="eastAsia" w:ascii="宋体" w:hAnsi="宋体" w:cs="宋体"/>
          <w:bCs/>
          <w:color w:val="000000"/>
          <w:sz w:val="24"/>
          <w:szCs w:val="24"/>
          <w:highlight w:val="none"/>
        </w:rPr>
        <w:t>:00〗</w:t>
      </w:r>
      <w:r>
        <w:rPr>
          <w:rFonts w:hint="eastAsia" w:ascii="宋体" w:hAnsi="宋体" w:eastAsia="宋体" w:cs="宋体"/>
          <w:color w:val="000000"/>
          <w:kern w:val="2"/>
          <w:sz w:val="24"/>
          <w:szCs w:val="24"/>
          <w:lang w:val="en-US" w:eastAsia="zh-CN" w:bidi="ar"/>
        </w:rPr>
        <w:t>(不含)</w:t>
      </w:r>
      <w:r>
        <w:rPr>
          <w:rFonts w:hint="eastAsia" w:ascii="宋体" w:hAnsi="宋体" w:cs="宋体"/>
          <w:bCs/>
          <w:color w:val="000000"/>
          <w:sz w:val="24"/>
          <w:szCs w:val="24"/>
          <w:highlight w:val="none"/>
        </w:rPr>
        <w:t>。</w:t>
      </w:r>
      <w:r>
        <w:rPr>
          <w:rFonts w:hint="eastAsia" w:ascii="宋体" w:hAnsi="宋体" w:cs="宋体"/>
          <w:color w:val="000000"/>
          <w:kern w:val="0"/>
          <w:sz w:val="24"/>
          <w:szCs w:val="24"/>
          <w:highlight w:val="none"/>
        </w:rPr>
        <w:t>（具体以销售机构规定为准）</w:t>
      </w:r>
    </w:p>
    <w:p>
      <w:pPr>
        <w:numPr>
          <w:ilvl w:val="0"/>
          <w:numId w:val="45"/>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如新增申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投资者在非工作时间内提出申购和赎回申请，申请将在第二个〖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〗工作时间内予以确认。未确认的申购和赎回申请可在确认日期前一〖</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w:t>
      </w:r>
      <w:r>
        <w:rPr>
          <w:rFonts w:hint="eastAsia" w:ascii="宋体" w:hAnsi="宋体" w:cs="宋体"/>
          <w:bCs/>
          <w:color w:val="000000"/>
          <w:kern w:val="2"/>
          <w:sz w:val="24"/>
          <w:szCs w:val="24"/>
          <w:highlight w:val="none"/>
          <w:lang w:val="en-US" w:eastAsia="zh-CN" w:bidi="ar-SA"/>
        </w:rPr>
        <w:t>24</w:t>
      </w:r>
      <w:r>
        <w:rPr>
          <w:rFonts w:hint="eastAsia" w:ascii="宋体" w:hAnsi="宋体" w:cs="宋体"/>
          <w:bCs/>
          <w:color w:val="000000"/>
          <w:sz w:val="24"/>
          <w:szCs w:val="24"/>
          <w:highlight w:val="none"/>
        </w:rPr>
        <w:t>:00〗前撤销。</w:t>
      </w:r>
    </w:p>
    <w:tbl>
      <w:tblPr>
        <w:tblStyle w:val="11"/>
        <w:tblW w:w="824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00"/>
        <w:gridCol w:w="3676"/>
        <w:gridCol w:w="2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jc w:val="center"/>
        </w:trPr>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申请操作</w:t>
            </w:r>
          </w:p>
        </w:tc>
        <w:tc>
          <w:tcPr>
            <w:tcW w:w="367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申请时间</w:t>
            </w:r>
          </w:p>
        </w:tc>
        <w:tc>
          <w:tcPr>
            <w:tcW w:w="24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确认日期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w:t>
            </w: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T日0:00-24:00（不含）（T为开放日）</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申购申请日后第一个工作日确认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continue"/>
            <w:tcBorders>
              <w:top w:val="nil"/>
              <w:left w:val="single" w:color="auto" w:sz="4" w:space="0"/>
              <w:bottom w:val="single" w:color="auto" w:sz="4" w:space="0"/>
              <w:right w:val="single" w:color="auto" w:sz="4" w:space="0"/>
            </w:tcBorders>
            <w:shd w:val="clear" w:color="auto" w:fill="auto"/>
            <w:vAlign w:val="center"/>
          </w:tcP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非开放日全时段</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申购申请日后第二个工作日确认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w:t>
            </w: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T日0:00-24:00（不含）（T为开放日）</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赎回申请日后第一个工作日确认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continue"/>
            <w:tcBorders>
              <w:top w:val="nil"/>
              <w:left w:val="single" w:color="auto" w:sz="4" w:space="0"/>
              <w:bottom w:val="single" w:color="auto" w:sz="4" w:space="0"/>
              <w:right w:val="single" w:color="auto" w:sz="4" w:space="0"/>
            </w:tcBorders>
            <w:shd w:val="clear" w:color="auto" w:fill="auto"/>
            <w:vAlign w:val="center"/>
          </w:tcP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非开放日全时段</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赎回申请日后第二个工作日确认</w:t>
            </w:r>
          </w:p>
        </w:tc>
      </w:tr>
    </w:tbl>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到账时间</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赎回资金确认后，最快确认日当日支付，该资金对应的收益支付方式见本说明书第九条收益计算与支付相应条款。如遇资金在途或法定工作日调整，实际资金到账日以公告为准。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巨额赎回处理</w:t>
      </w:r>
    </w:p>
    <w:p>
      <w:pPr>
        <w:numPr>
          <w:ilvl w:val="0"/>
          <w:numId w:val="4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巨额赎回认定</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理财计划存续期内，若理财计划开放日净赎回申请份额超过上一日日终理财计划总份额〖10%〗时，即构成巨额赎回。</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巨额赎回处理</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出现巨额赎回时，管理人可以根据资产组合状况决定采取全额赎回或拒绝超出部分的赎回申请。如连续2日（含）以上开放日发生巨额赎回，对于已经接受的赎回申请，管理人可以延缓支付赎回款项，但延缓期限不得超过20个工作日。</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全部赎回</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当管理人认为全额兑付投资者的赎回申请将不会对本理财计划净值造成较大波动或给本理财计划造成重大损失时，按正常赎回程序执行。</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拒绝超出部分的赎回申请</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在理财计划存续期内，管理人有权根据市场情况调整巨额赎回金额比例，并及时进行对外公告。</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暂停申购、赎回及延期支付赎回的情形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发生以下情形，管理人可暂停接受全部或部分投资者的申购申请：</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理财计划资产规模过大，继续接受申购可能对理财计划业绩产生负面影响，从而损害现有份额持有人利益的情形时。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当管理人认为某笔申购申请会有损于其他份额持有人利益的情形时。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发生产品说明书约定的暂停估值的情形时。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法律法规规定或监管机构认定的其他情形。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发生以下情形，对超出前一日终理财产品总份额10%的赎回申请，管理人可暂停接受全部或部分、延期办理投资者的赎回申请：</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理财计划发生巨额赎回情形时。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当继续</w:t>
      </w:r>
      <w:r>
        <w:rPr>
          <w:rFonts w:ascii="宋体" w:hAnsi="宋体" w:cs="宋体"/>
          <w:bCs/>
          <w:color w:val="000000"/>
          <w:sz w:val="24"/>
          <w:szCs w:val="24"/>
          <w:highlight w:val="none"/>
        </w:rPr>
        <w:t>接受赎回申请将损害存量投资者利益的情形</w:t>
      </w:r>
      <w:r>
        <w:rPr>
          <w:rFonts w:hint="eastAsia" w:ascii="宋体" w:hAnsi="宋体" w:cs="宋体"/>
          <w:bCs/>
          <w:color w:val="000000"/>
          <w:sz w:val="24"/>
          <w:szCs w:val="24"/>
          <w:highlight w:val="none"/>
        </w:rPr>
        <w:t>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w:t>
      </w:r>
      <w:r>
        <w:rPr>
          <w:rFonts w:ascii="宋体" w:hAnsi="宋体" w:cs="宋体"/>
          <w:bCs/>
          <w:color w:val="000000"/>
          <w:sz w:val="24"/>
          <w:szCs w:val="24"/>
          <w:highlight w:val="none"/>
        </w:rPr>
        <w:t>前一估值日</w:t>
      </w:r>
      <w:r>
        <w:rPr>
          <w:rFonts w:hint="eastAsia" w:ascii="宋体" w:hAnsi="宋体" w:cs="宋体"/>
          <w:bCs/>
          <w:color w:val="000000"/>
          <w:sz w:val="24"/>
          <w:szCs w:val="24"/>
          <w:highlight w:val="none"/>
        </w:rPr>
        <w:t>理财计划</w:t>
      </w:r>
      <w:r>
        <w:rPr>
          <w:rFonts w:ascii="宋体" w:hAnsi="宋体" w:cs="宋体"/>
          <w:bCs/>
          <w:color w:val="000000"/>
          <w:sz w:val="24"/>
          <w:szCs w:val="24"/>
          <w:highlight w:val="none"/>
        </w:rPr>
        <w:t>资产净值50%以上的资产不具备活跃交易市场或者在活跃市场中无报价，且不能采用估值技术可靠计量公允价值</w:t>
      </w:r>
      <w:r>
        <w:rPr>
          <w:rFonts w:hint="eastAsia" w:ascii="宋体" w:hAnsi="宋体" w:cs="宋体"/>
          <w:bCs/>
          <w:color w:val="000000"/>
          <w:sz w:val="24"/>
          <w:szCs w:val="24"/>
          <w:highlight w:val="none"/>
        </w:rPr>
        <w:t>的情形</w:t>
      </w:r>
      <w:r>
        <w:rPr>
          <w:rFonts w:ascii="宋体" w:hAnsi="宋体" w:cs="宋体"/>
          <w:bCs/>
          <w:color w:val="000000"/>
          <w:sz w:val="24"/>
          <w:szCs w:val="24"/>
          <w:highlight w:val="none"/>
        </w:rPr>
        <w:t>时</w:t>
      </w:r>
      <w:r>
        <w:rPr>
          <w:rFonts w:hint="eastAsia" w:ascii="宋体" w:hAnsi="宋体" w:cs="宋体"/>
          <w:bCs/>
          <w:color w:val="000000"/>
          <w:sz w:val="24"/>
          <w:szCs w:val="24"/>
          <w:highlight w:val="none"/>
        </w:rPr>
        <w:t>。</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发生产品说明书约定的暂停估值的情形时。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法律法规规定或监管机构认定的其他情形。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发生以下情形，管理人对已接受的赎回申请，可延期支付赎回款项：</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因不可抗力等原因，导致管理人接受赎回申请后无法及时兑付的情形时。</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连续</w:t>
      </w:r>
      <w:r>
        <w:rPr>
          <w:rFonts w:ascii="宋体" w:hAnsi="宋体" w:cs="宋体"/>
          <w:bCs/>
          <w:color w:val="000000"/>
          <w:sz w:val="24"/>
          <w:szCs w:val="24"/>
          <w:highlight w:val="none"/>
        </w:rPr>
        <w:t>2</w:t>
      </w:r>
      <w:r>
        <w:rPr>
          <w:rFonts w:hint="eastAsia" w:ascii="宋体" w:hAnsi="宋体" w:cs="宋体"/>
          <w:bCs/>
          <w:color w:val="000000"/>
          <w:sz w:val="24"/>
          <w:szCs w:val="24"/>
          <w:highlight w:val="none"/>
        </w:rPr>
        <w:t>日</w:t>
      </w:r>
      <w:r>
        <w:rPr>
          <w:rFonts w:ascii="宋体" w:hAnsi="宋体" w:cs="宋体"/>
          <w:bCs/>
          <w:color w:val="000000"/>
          <w:sz w:val="24"/>
          <w:szCs w:val="24"/>
          <w:highlight w:val="none"/>
        </w:rPr>
        <w:t>（含）以上开放日发生巨额赎回的</w:t>
      </w:r>
      <w:r>
        <w:rPr>
          <w:rFonts w:hint="eastAsia" w:ascii="宋体" w:hAnsi="宋体" w:cs="宋体"/>
          <w:bCs/>
          <w:color w:val="000000"/>
          <w:sz w:val="24"/>
          <w:szCs w:val="24"/>
          <w:highlight w:val="none"/>
        </w:rPr>
        <w:t>情形时。</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当前</w:t>
      </w:r>
      <w:r>
        <w:rPr>
          <w:rFonts w:ascii="宋体" w:hAnsi="宋体" w:cs="宋体"/>
          <w:bCs/>
          <w:color w:val="000000"/>
          <w:sz w:val="24"/>
          <w:szCs w:val="24"/>
          <w:highlight w:val="none"/>
        </w:rPr>
        <w:t>一估值日</w:t>
      </w:r>
      <w:r>
        <w:rPr>
          <w:rFonts w:hint="eastAsia" w:ascii="宋体" w:hAnsi="宋体" w:cs="宋体"/>
          <w:bCs/>
          <w:color w:val="000000"/>
          <w:sz w:val="24"/>
          <w:szCs w:val="24"/>
          <w:highlight w:val="none"/>
        </w:rPr>
        <w:t>理财计划</w:t>
      </w:r>
      <w:r>
        <w:rPr>
          <w:rFonts w:ascii="宋体" w:hAnsi="宋体" w:cs="宋体"/>
          <w:bCs/>
          <w:color w:val="000000"/>
          <w:sz w:val="24"/>
          <w:szCs w:val="24"/>
          <w:highlight w:val="none"/>
        </w:rPr>
        <w:t>资产净值50%以上的资产不具备活跃交易市场或者在活跃市场中无报价，且不能采用估值技术可靠计量公允价值</w:t>
      </w:r>
      <w:r>
        <w:rPr>
          <w:rFonts w:hint="eastAsia" w:ascii="宋体" w:hAnsi="宋体" w:cs="宋体"/>
          <w:bCs/>
          <w:color w:val="000000"/>
          <w:sz w:val="24"/>
          <w:szCs w:val="24"/>
          <w:highlight w:val="none"/>
        </w:rPr>
        <w:t>的情形</w:t>
      </w:r>
      <w:r>
        <w:rPr>
          <w:rFonts w:ascii="宋体" w:hAnsi="宋体" w:cs="宋体"/>
          <w:bCs/>
          <w:color w:val="000000"/>
          <w:sz w:val="24"/>
          <w:szCs w:val="24"/>
          <w:highlight w:val="none"/>
        </w:rPr>
        <w:t>时</w:t>
      </w:r>
      <w:r>
        <w:rPr>
          <w:rFonts w:hint="eastAsia" w:ascii="宋体" w:hAnsi="宋体" w:cs="宋体"/>
          <w:bCs/>
          <w:color w:val="000000"/>
          <w:sz w:val="24"/>
          <w:szCs w:val="24"/>
          <w:highlight w:val="none"/>
        </w:rPr>
        <w:t>。</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法律法规规定或监管机构认定的其他情形。</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szCs w:val="24"/>
          <w:highlight w:val="none"/>
        </w:rPr>
        <w:t>正常到期清算：本理财计划终止后，管理人将按照清算后的资产净值按持有份额比例对投资者进行分配，并通过销售机构最快〖1〗个〖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CN"/>
        </w:rPr>
      </w:pPr>
      <w:r>
        <w:rPr>
          <w:rFonts w:hint="eastAsia" w:ascii="宋体" w:hAnsi="宋体" w:cs="宋体"/>
          <w:color w:val="000000"/>
          <w:kern w:val="0"/>
          <w:sz w:val="24"/>
          <w:szCs w:val="24"/>
          <w:highlight w:val="none"/>
          <w:lang w:eastAsia="zh-CN"/>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提前终止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2〗个〖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szCs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如发生以下事项时，管理人可对本理财计划行使全部或部分提前终止权：</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如因本理财计划资产运作模式等与法律法规、规章的规定或者监管部门的要求等存在冲突导致理财计划必须提前终止的。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国家有关法律、法规、规章、政策的改变、紧急措施的出台、理财市场环境发生重大变化等导致理财计划必须提前终止的。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因不可抗力因素导致本理财计划必须提前终止的。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理财计划的投资策略已不适合当前的市场环境的。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融资人行使提前到期或还款权利的。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管理人认为应该提前终止的其他情形。</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延期</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预计在理财计划预计到期日，理财计划资产因市场风险、信用风险等原因无法全部变现。</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预计理财计划所投资的信托计划、资管计划等的受托人或管理人不能按时向管理人划付理财计划的本金和收益。</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理财计划财产涉及诉讼或仲裁，且预计诉讼或仲裁执行程序于理财计划到期日尚未终结。</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管理人与托管人、销售机构协商一致决定延期。</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法律法规规定的或管理人认为有必要延期的其他情形。</w:t>
      </w:r>
    </w:p>
    <w:p>
      <w:pPr>
        <w:spacing w:line="360" w:lineRule="auto"/>
        <w:jc w:val="left"/>
        <w:rPr>
          <w:rFonts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信息披露</w:t>
      </w:r>
    </w:p>
    <w:p>
      <w:pPr>
        <w:numPr>
          <w:ilvl w:val="0"/>
          <w:numId w:val="5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披露内容及时间</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认购信息披露</w:t>
      </w:r>
    </w:p>
    <w:p>
      <w:pPr>
        <w:numPr>
          <w:ilvl w:val="0"/>
          <w:numId w:val="54"/>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理财计划合同：管理人应在正式办理理财计划份额认购前披露，包括但不限于理财计划风险揭示书、理财计划产品说明书、投资者权益须知、理财计划投资协议书以及理财计划销售协议书。</w:t>
      </w:r>
    </w:p>
    <w:p>
      <w:pPr>
        <w:numPr>
          <w:ilvl w:val="0"/>
          <w:numId w:val="54"/>
        </w:num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发行公告：管理人应在理财计划成立日后5个工作日内披露，包括成立日期、募集规模等信息。</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运作信息披露</w:t>
      </w:r>
    </w:p>
    <w:p>
      <w:pPr>
        <w:numPr>
          <w:ilvl w:val="0"/>
          <w:numId w:val="5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当日每万份理财计划收益：管理人将根据理财计划实际投资运作情况计算存续期内每个开放日的当日每万份收益，并于下一开放日公布。非开放日的每万份收益将于下一产品开放日公布。</w:t>
      </w:r>
    </w:p>
    <w:p>
      <w:pPr>
        <w:numPr>
          <w:ilvl w:val="0"/>
          <w:numId w:val="55"/>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如本理财计划成立不足90个工作日或剩余存续期不超过90个工作日的，管理人可不编制当期的季度、半年和年度报告等运行报告。</w:t>
      </w:r>
    </w:p>
    <w:p>
      <w:pPr>
        <w:numPr>
          <w:ilvl w:val="0"/>
          <w:numId w:val="55"/>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到期报告：管理人应在理财计划到期后5个工作日内披露，包括存续期限、到期兑付净值、收益分配情况等信息。</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临时信息披露</w:t>
      </w:r>
    </w:p>
    <w:p>
      <w:pPr>
        <w:numPr>
          <w:ilvl w:val="0"/>
          <w:numId w:val="56"/>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重大事项公告：管理人应在运用收取短期赎回费、摆动定价等措施后，3个交易日内发布相关事项公告；应在运用暂停认购、延期办理巨额赎回申请、暂停接受赎回申请、延缓支付赎回款项、暂停理财产品估值等措施后，3个交易日内发布相关事项公告，说明运用相关措施的原因、拟采取的应对安排等；应在发生可能对理财计划投资者或者理财计划收益产生重大事项的事件后2个工作日内发布重大事项公告。</w:t>
      </w:r>
    </w:p>
    <w:p>
      <w:pPr>
        <w:numPr>
          <w:ilvl w:val="0"/>
          <w:numId w:val="56"/>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临时公告：管理人应当及时披露除重大事项以外的其他信息，包括但不限于理财计划终止、更换理财计划管理人和托管人、涉及理财计划管理业务的重大诉讼、涉及费率相关事项的变动、理财计划延期兑付等。</w:t>
      </w:r>
    </w:p>
    <w:p>
      <w:pPr>
        <w:numPr>
          <w:ilvl w:val="0"/>
          <w:numId w:val="5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披露方式</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其他</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追索条款</w:t>
      </w:r>
    </w:p>
    <w:p>
      <w:p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信息安全</w:t>
      </w:r>
    </w:p>
    <w:p>
      <w:p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color w:val="000000"/>
          <w:sz w:val="24"/>
          <w:szCs w:val="24"/>
          <w:highlight w:val="none"/>
        </w:rPr>
        <w:t>投资者在此同意并授权，管理人可根据监管要求，为理财计划登记等需要，向登记部门或监管机构提供投资者相关信息，授权使用时限与履行相关法律法规和监管要求的必要时限一致。</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争议解决</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特别提示</w:t>
      </w:r>
    </w:p>
    <w:p>
      <w:pPr>
        <w:spacing w:line="360" w:lineRule="auto"/>
        <w:ind w:firstLine="482" w:firstLineChars="200"/>
        <w:rPr>
          <w:rFonts w:hint="eastAsia" w:ascii="宋体" w:hAnsi="宋体" w:cs="宋体"/>
          <w:b/>
          <w:color w:val="000000"/>
          <w:sz w:val="24"/>
          <w:szCs w:val="24"/>
          <w:highlight w:val="none"/>
        </w:rPr>
      </w:pPr>
      <w:r>
        <w:rPr>
          <w:rFonts w:hint="eastAsia" w:ascii="宋体" w:hAnsi="宋体" w:cs="宋体"/>
          <w:b/>
          <w:color w:val="000000"/>
          <w:sz w:val="24"/>
          <w:szCs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2">
    <w:nsid w:val="859E74B3"/>
    <w:multiLevelType w:val="singleLevel"/>
    <w:tmpl w:val="859E74B3"/>
    <w:lvl w:ilvl="0" w:tentative="0">
      <w:start w:val="1"/>
      <w:numFmt w:val="decimal"/>
      <w:suff w:val="nothing"/>
      <w:lvlText w:val="（%1）"/>
      <w:lvlJc w:val="left"/>
      <w:rPr>
        <w:color w:val="000000"/>
      </w:rPr>
    </w:lvl>
  </w:abstractNum>
  <w:abstractNum w:abstractNumId="3">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4">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5">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6">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7">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8">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9">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10">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1">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12">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3">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4">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5">
    <w:nsid w:val="AC8426DA"/>
    <w:multiLevelType w:val="singleLevel"/>
    <w:tmpl w:val="AC8426DA"/>
    <w:lvl w:ilvl="0" w:tentative="0">
      <w:start w:val="1"/>
      <w:numFmt w:val="decimal"/>
      <w:lvlText w:val="%1."/>
      <w:lvlJc w:val="left"/>
      <w:pPr>
        <w:tabs>
          <w:tab w:val="left" w:pos="312"/>
        </w:tabs>
      </w:pPr>
    </w:lvl>
  </w:abstractNum>
  <w:abstractNum w:abstractNumId="16">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7">
    <w:nsid w:val="BA7A462A"/>
    <w:multiLevelType w:val="singleLevel"/>
    <w:tmpl w:val="BA7A462A"/>
    <w:lvl w:ilvl="0" w:tentative="0">
      <w:start w:val="1"/>
      <w:numFmt w:val="decimal"/>
      <w:suff w:val="nothing"/>
      <w:lvlText w:val="（%1）"/>
      <w:lvlJc w:val="left"/>
    </w:lvl>
  </w:abstractNum>
  <w:abstractNum w:abstractNumId="18">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9">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20">
    <w:nsid w:val="C93773F8"/>
    <w:multiLevelType w:val="singleLevel"/>
    <w:tmpl w:val="C93773F8"/>
    <w:lvl w:ilvl="0" w:tentative="0">
      <w:start w:val="1"/>
      <w:numFmt w:val="decimal"/>
      <w:suff w:val="nothing"/>
      <w:lvlText w:val="（%1）"/>
      <w:lvlJc w:val="left"/>
      <w:rPr>
        <w:color w:val="000000"/>
      </w:rPr>
    </w:lvl>
  </w:abstractNum>
  <w:abstractNum w:abstractNumId="21">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22">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23">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24">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25">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6">
    <w:nsid w:val="DE51CBE6"/>
    <w:multiLevelType w:val="singleLevel"/>
    <w:tmpl w:val="DE51CBE6"/>
    <w:lvl w:ilvl="0" w:tentative="0">
      <w:start w:val="1"/>
      <w:numFmt w:val="decimal"/>
      <w:suff w:val="nothing"/>
      <w:lvlText w:val="（%1）"/>
      <w:lvlJc w:val="left"/>
      <w:rPr>
        <w:color w:val="000000"/>
      </w:rPr>
    </w:lvl>
  </w:abstractNum>
  <w:abstractNum w:abstractNumId="27">
    <w:nsid w:val="E20DF07A"/>
    <w:multiLevelType w:val="singleLevel"/>
    <w:tmpl w:val="E20DF07A"/>
    <w:lvl w:ilvl="0" w:tentative="0">
      <w:start w:val="1"/>
      <w:numFmt w:val="chineseCounting"/>
      <w:suff w:val="nothing"/>
      <w:lvlText w:val="（%1）"/>
      <w:lvlJc w:val="left"/>
      <w:pPr>
        <w:ind w:left="0" w:firstLine="420"/>
      </w:pPr>
      <w:rPr>
        <w:rFonts w:hint="eastAsia"/>
        <w:color w:val="000000"/>
      </w:rPr>
    </w:lvl>
  </w:abstractNum>
  <w:abstractNum w:abstractNumId="28">
    <w:nsid w:val="E70DF796"/>
    <w:multiLevelType w:val="singleLevel"/>
    <w:tmpl w:val="E70DF796"/>
    <w:lvl w:ilvl="0" w:tentative="0">
      <w:start w:val="1"/>
      <w:numFmt w:val="decimal"/>
      <w:suff w:val="nothing"/>
      <w:lvlText w:val="（%1）"/>
      <w:lvlJc w:val="left"/>
      <w:rPr>
        <w:color w:val="000000"/>
      </w:rPr>
    </w:lvl>
  </w:abstractNum>
  <w:abstractNum w:abstractNumId="29">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30">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1">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32">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33">
    <w:nsid w:val="F574F5B6"/>
    <w:multiLevelType w:val="singleLevel"/>
    <w:tmpl w:val="F574F5B6"/>
    <w:lvl w:ilvl="0" w:tentative="0">
      <w:start w:val="1"/>
      <w:numFmt w:val="decimal"/>
      <w:suff w:val="nothing"/>
      <w:lvlText w:val="（%1）"/>
      <w:lvlJc w:val="left"/>
      <w:rPr>
        <w:color w:val="000000"/>
      </w:rPr>
    </w:lvl>
  </w:abstractNum>
  <w:abstractNum w:abstractNumId="34">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35">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6">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7">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8">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9">
    <w:nsid w:val="167B0BB4"/>
    <w:multiLevelType w:val="singleLevel"/>
    <w:tmpl w:val="167B0BB4"/>
    <w:lvl w:ilvl="0" w:tentative="0">
      <w:start w:val="1"/>
      <w:numFmt w:val="decimal"/>
      <w:suff w:val="nothing"/>
      <w:lvlText w:val="（%1）"/>
      <w:lvlJc w:val="left"/>
    </w:lvl>
  </w:abstractNum>
  <w:abstractNum w:abstractNumId="40">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41">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42">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43">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4">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5">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6">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7">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8">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9">
    <w:nsid w:val="4D152F81"/>
    <w:multiLevelType w:val="singleLevel"/>
    <w:tmpl w:val="4D152F81"/>
    <w:lvl w:ilvl="0" w:tentative="0">
      <w:start w:val="1"/>
      <w:numFmt w:val="decimal"/>
      <w:lvlText w:val="%1."/>
      <w:lvlJc w:val="left"/>
      <w:pPr>
        <w:tabs>
          <w:tab w:val="left" w:pos="312"/>
        </w:tabs>
      </w:pPr>
    </w:lvl>
  </w:abstractNum>
  <w:abstractNum w:abstractNumId="50">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51">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52">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53">
    <w:nsid w:val="5BA91325"/>
    <w:multiLevelType w:val="singleLevel"/>
    <w:tmpl w:val="5BA91325"/>
    <w:lvl w:ilvl="0" w:tentative="0">
      <w:start w:val="1"/>
      <w:numFmt w:val="decimal"/>
      <w:suff w:val="nothing"/>
      <w:lvlText w:val="（%1）"/>
      <w:lvlJc w:val="left"/>
      <w:rPr>
        <w:color w:val="000000"/>
      </w:rPr>
    </w:lvl>
  </w:abstractNum>
  <w:abstractNum w:abstractNumId="54">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5">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abstractNum w:abstractNumId="56">
    <w:nsid w:val="6CC7912A"/>
    <w:multiLevelType w:val="singleLevel"/>
    <w:tmpl w:val="6CC7912A"/>
    <w:lvl w:ilvl="0" w:tentative="0">
      <w:start w:val="1"/>
      <w:numFmt w:val="decimal"/>
      <w:suff w:val="nothing"/>
      <w:lvlText w:val="（%1）"/>
      <w:lvlJc w:val="left"/>
    </w:lvl>
  </w:abstractNum>
  <w:num w:numId="1">
    <w:abstractNumId w:val="51"/>
  </w:num>
  <w:num w:numId="2">
    <w:abstractNumId w:val="47"/>
  </w:num>
  <w:num w:numId="3">
    <w:abstractNumId w:val="34"/>
  </w:num>
  <w:num w:numId="4">
    <w:abstractNumId w:val="31"/>
  </w:num>
  <w:num w:numId="5">
    <w:abstractNumId w:val="37"/>
  </w:num>
  <w:num w:numId="6">
    <w:abstractNumId w:val="30"/>
  </w:num>
  <w:num w:numId="7">
    <w:abstractNumId w:val="21"/>
  </w:num>
  <w:num w:numId="8">
    <w:abstractNumId w:val="12"/>
  </w:num>
  <w:num w:numId="9">
    <w:abstractNumId w:val="18"/>
  </w:num>
  <w:num w:numId="10">
    <w:abstractNumId w:val="9"/>
  </w:num>
  <w:num w:numId="11">
    <w:abstractNumId w:val="10"/>
  </w:num>
  <w:num w:numId="12">
    <w:abstractNumId w:val="8"/>
  </w:num>
  <w:num w:numId="13">
    <w:abstractNumId w:val="36"/>
  </w:num>
  <w:num w:numId="14">
    <w:abstractNumId w:val="6"/>
  </w:num>
  <w:num w:numId="15">
    <w:abstractNumId w:val="0"/>
  </w:num>
  <w:num w:numId="16">
    <w:abstractNumId w:val="46"/>
  </w:num>
  <w:num w:numId="17">
    <w:abstractNumId w:val="33"/>
  </w:num>
  <w:num w:numId="18">
    <w:abstractNumId w:val="26"/>
  </w:num>
  <w:num w:numId="19">
    <w:abstractNumId w:val="2"/>
  </w:num>
  <w:num w:numId="20">
    <w:abstractNumId w:val="53"/>
  </w:num>
  <w:num w:numId="21">
    <w:abstractNumId w:val="41"/>
  </w:num>
  <w:num w:numId="22">
    <w:abstractNumId w:val="23"/>
  </w:num>
  <w:num w:numId="23">
    <w:abstractNumId w:val="7"/>
  </w:num>
  <w:num w:numId="24">
    <w:abstractNumId w:val="50"/>
  </w:num>
  <w:num w:numId="25">
    <w:abstractNumId w:val="5"/>
  </w:num>
  <w:num w:numId="26">
    <w:abstractNumId w:val="15"/>
  </w:num>
  <w:num w:numId="27">
    <w:abstractNumId w:val="40"/>
  </w:num>
  <w:num w:numId="28">
    <w:abstractNumId w:val="55"/>
  </w:num>
  <w:num w:numId="29">
    <w:abstractNumId w:val="35"/>
  </w:num>
  <w:num w:numId="30">
    <w:abstractNumId w:val="22"/>
  </w:num>
  <w:num w:numId="31">
    <w:abstractNumId w:val="43"/>
  </w:num>
  <w:num w:numId="32">
    <w:abstractNumId w:val="20"/>
  </w:num>
  <w:num w:numId="33">
    <w:abstractNumId w:val="25"/>
  </w:num>
  <w:num w:numId="34">
    <w:abstractNumId w:val="45"/>
  </w:num>
  <w:num w:numId="35">
    <w:abstractNumId w:val="3"/>
  </w:num>
  <w:num w:numId="36">
    <w:abstractNumId w:val="27"/>
  </w:num>
  <w:num w:numId="37">
    <w:abstractNumId w:val="16"/>
  </w:num>
  <w:num w:numId="38">
    <w:abstractNumId w:val="49"/>
  </w:num>
  <w:num w:numId="39">
    <w:abstractNumId w:val="56"/>
  </w:num>
  <w:num w:numId="40">
    <w:abstractNumId w:val="17"/>
  </w:num>
  <w:num w:numId="41">
    <w:abstractNumId w:val="48"/>
  </w:num>
  <w:num w:numId="42">
    <w:abstractNumId w:val="38"/>
  </w:num>
  <w:num w:numId="43">
    <w:abstractNumId w:val="19"/>
  </w:num>
  <w:num w:numId="44">
    <w:abstractNumId w:val="32"/>
  </w:num>
  <w:num w:numId="45">
    <w:abstractNumId w:val="28"/>
  </w:num>
  <w:num w:numId="46">
    <w:abstractNumId w:val="29"/>
  </w:num>
  <w:num w:numId="47">
    <w:abstractNumId w:val="54"/>
  </w:num>
  <w:num w:numId="48">
    <w:abstractNumId w:val="42"/>
  </w:num>
  <w:num w:numId="49">
    <w:abstractNumId w:val="1"/>
  </w:num>
  <w:num w:numId="50">
    <w:abstractNumId w:val="52"/>
  </w:num>
  <w:num w:numId="51">
    <w:abstractNumId w:val="13"/>
  </w:num>
  <w:num w:numId="52">
    <w:abstractNumId w:val="11"/>
  </w:num>
  <w:num w:numId="53">
    <w:abstractNumId w:val="14"/>
  </w:num>
  <w:num w:numId="54">
    <w:abstractNumId w:val="39"/>
  </w:num>
  <w:num w:numId="55">
    <w:abstractNumId w:val="24"/>
  </w:num>
  <w:num w:numId="56">
    <w:abstractNumId w:val="4"/>
  </w:num>
  <w:num w:numId="5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36430D"/>
    <w:rsid w:val="15862C7E"/>
    <w:rsid w:val="15FD05B8"/>
    <w:rsid w:val="164976A9"/>
    <w:rsid w:val="178D1D7E"/>
    <w:rsid w:val="17EA7887"/>
    <w:rsid w:val="18321B09"/>
    <w:rsid w:val="18616AA2"/>
    <w:rsid w:val="191F0F43"/>
    <w:rsid w:val="197D2A54"/>
    <w:rsid w:val="19E235E1"/>
    <w:rsid w:val="1A7E4CCF"/>
    <w:rsid w:val="1BCD72C9"/>
    <w:rsid w:val="1BFB7C22"/>
    <w:rsid w:val="1C09008C"/>
    <w:rsid w:val="1D0817CE"/>
    <w:rsid w:val="1E635082"/>
    <w:rsid w:val="1F0F7AA5"/>
    <w:rsid w:val="1F962D64"/>
    <w:rsid w:val="1FFE508D"/>
    <w:rsid w:val="213B4CFA"/>
    <w:rsid w:val="21527232"/>
    <w:rsid w:val="21575C30"/>
    <w:rsid w:val="21B70797"/>
    <w:rsid w:val="21F67436"/>
    <w:rsid w:val="220D70EF"/>
    <w:rsid w:val="23D7DA24"/>
    <w:rsid w:val="24885625"/>
    <w:rsid w:val="24A063EA"/>
    <w:rsid w:val="24C8157C"/>
    <w:rsid w:val="255170B3"/>
    <w:rsid w:val="25BD3406"/>
    <w:rsid w:val="260415D7"/>
    <w:rsid w:val="26896537"/>
    <w:rsid w:val="27DB5649"/>
    <w:rsid w:val="284E53B8"/>
    <w:rsid w:val="28F73A05"/>
    <w:rsid w:val="29E223F6"/>
    <w:rsid w:val="2A7A79DE"/>
    <w:rsid w:val="2B5C1F0C"/>
    <w:rsid w:val="2BD054E2"/>
    <w:rsid w:val="2CF55D78"/>
    <w:rsid w:val="2EAD6691"/>
    <w:rsid w:val="2F0D25D9"/>
    <w:rsid w:val="2F11F692"/>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87C6B86"/>
    <w:rsid w:val="3B1C12F3"/>
    <w:rsid w:val="3B7F74DF"/>
    <w:rsid w:val="3BD53B5C"/>
    <w:rsid w:val="3BFDBE8B"/>
    <w:rsid w:val="3CC57F13"/>
    <w:rsid w:val="3D4C282D"/>
    <w:rsid w:val="3D970F4E"/>
    <w:rsid w:val="3DE106C6"/>
    <w:rsid w:val="3E540971"/>
    <w:rsid w:val="3E786275"/>
    <w:rsid w:val="3E931F0D"/>
    <w:rsid w:val="3EF7009B"/>
    <w:rsid w:val="3F7E2660"/>
    <w:rsid w:val="3F7F862F"/>
    <w:rsid w:val="3FA31FDD"/>
    <w:rsid w:val="3FC253CD"/>
    <w:rsid w:val="3FFA261A"/>
    <w:rsid w:val="3FFFA04D"/>
    <w:rsid w:val="40A430BB"/>
    <w:rsid w:val="40E135DA"/>
    <w:rsid w:val="40FB25F3"/>
    <w:rsid w:val="41F528C8"/>
    <w:rsid w:val="427C1487"/>
    <w:rsid w:val="42FA026B"/>
    <w:rsid w:val="43C800C0"/>
    <w:rsid w:val="444440BE"/>
    <w:rsid w:val="44AC49CD"/>
    <w:rsid w:val="44B91F56"/>
    <w:rsid w:val="458A1075"/>
    <w:rsid w:val="46184F00"/>
    <w:rsid w:val="466F6F60"/>
    <w:rsid w:val="46A726DE"/>
    <w:rsid w:val="471F4546"/>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56B9EA3"/>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EAD585E"/>
    <w:rsid w:val="5F04726A"/>
    <w:rsid w:val="5F6D37D2"/>
    <w:rsid w:val="5F9C081D"/>
    <w:rsid w:val="5F9D8D66"/>
    <w:rsid w:val="5FBD1139"/>
    <w:rsid w:val="606677EA"/>
    <w:rsid w:val="60F34C3C"/>
    <w:rsid w:val="617668BD"/>
    <w:rsid w:val="61D01645"/>
    <w:rsid w:val="61D37DF9"/>
    <w:rsid w:val="63723353"/>
    <w:rsid w:val="64164D78"/>
    <w:rsid w:val="64993141"/>
    <w:rsid w:val="659F27EB"/>
    <w:rsid w:val="659F600E"/>
    <w:rsid w:val="670B831C"/>
    <w:rsid w:val="67CC2C23"/>
    <w:rsid w:val="67CE6661"/>
    <w:rsid w:val="680A5A06"/>
    <w:rsid w:val="68B9403E"/>
    <w:rsid w:val="68D511B9"/>
    <w:rsid w:val="68FA6041"/>
    <w:rsid w:val="69827CEE"/>
    <w:rsid w:val="6BDE71F2"/>
    <w:rsid w:val="6C9577EB"/>
    <w:rsid w:val="6CBA3A99"/>
    <w:rsid w:val="6D3A1203"/>
    <w:rsid w:val="6D66CE3D"/>
    <w:rsid w:val="6DD06EFD"/>
    <w:rsid w:val="6DFF1F5A"/>
    <w:rsid w:val="6E9C369D"/>
    <w:rsid w:val="6EF41B11"/>
    <w:rsid w:val="6F527944"/>
    <w:rsid w:val="6F7FD338"/>
    <w:rsid w:val="702573F3"/>
    <w:rsid w:val="70B57531"/>
    <w:rsid w:val="70FA499F"/>
    <w:rsid w:val="730C182D"/>
    <w:rsid w:val="73FC9A3F"/>
    <w:rsid w:val="751974A1"/>
    <w:rsid w:val="7576C9CC"/>
    <w:rsid w:val="758B30E4"/>
    <w:rsid w:val="75F42331"/>
    <w:rsid w:val="761F7C3C"/>
    <w:rsid w:val="76683D2A"/>
    <w:rsid w:val="76C62D9E"/>
    <w:rsid w:val="76EDDC0D"/>
    <w:rsid w:val="77CE2F69"/>
    <w:rsid w:val="77F748F0"/>
    <w:rsid w:val="77FF016E"/>
    <w:rsid w:val="78244617"/>
    <w:rsid w:val="7A923507"/>
    <w:rsid w:val="7ACB640D"/>
    <w:rsid w:val="7BAFC4E9"/>
    <w:rsid w:val="7BFF1A29"/>
    <w:rsid w:val="7C044D89"/>
    <w:rsid w:val="7C5B8E26"/>
    <w:rsid w:val="7C63442B"/>
    <w:rsid w:val="7D0A2827"/>
    <w:rsid w:val="7D3AA22F"/>
    <w:rsid w:val="7DE35ECA"/>
    <w:rsid w:val="7DF6638E"/>
    <w:rsid w:val="7DFF4E2E"/>
    <w:rsid w:val="7E1A0C5A"/>
    <w:rsid w:val="7E3212D3"/>
    <w:rsid w:val="7F5F887D"/>
    <w:rsid w:val="7FCC7D05"/>
    <w:rsid w:val="7FEF42B8"/>
    <w:rsid w:val="7FFEAB68"/>
    <w:rsid w:val="8EEDA87E"/>
    <w:rsid w:val="8FFF2394"/>
    <w:rsid w:val="9FD01BC3"/>
    <w:rsid w:val="AEBA6F54"/>
    <w:rsid w:val="B3FE25BF"/>
    <w:rsid w:val="B7EFCE79"/>
    <w:rsid w:val="BE6E0F8F"/>
    <w:rsid w:val="C679D4D5"/>
    <w:rsid w:val="C7FFBBFA"/>
    <w:rsid w:val="D3FFF2E3"/>
    <w:rsid w:val="D4B948F0"/>
    <w:rsid w:val="D7BE90C3"/>
    <w:rsid w:val="DE7F8D62"/>
    <w:rsid w:val="DFFF61C4"/>
    <w:rsid w:val="EAE6DD5D"/>
    <w:rsid w:val="EECA23E9"/>
    <w:rsid w:val="F1C67B4E"/>
    <w:rsid w:val="F3F331A4"/>
    <w:rsid w:val="F3FF81F7"/>
    <w:rsid w:val="F67996EE"/>
    <w:rsid w:val="F7779996"/>
    <w:rsid w:val="F7FE62B6"/>
    <w:rsid w:val="F7FFBCB9"/>
    <w:rsid w:val="F9EDDA97"/>
    <w:rsid w:val="FA543BA3"/>
    <w:rsid w:val="FABA68FE"/>
    <w:rsid w:val="FD5FEFDB"/>
    <w:rsid w:val="FD7F9463"/>
    <w:rsid w:val="FDBA1D5F"/>
    <w:rsid w:val="FDF78EC0"/>
    <w:rsid w:val="FEAED78B"/>
    <w:rsid w:val="FFDB2BA5"/>
    <w:rsid w:val="FFF7BA26"/>
    <w:rsid w:val="FFFF1F3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9"/>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30"/>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Table Text"/>
    <w:basedOn w:val="1"/>
    <w:semiHidden/>
    <w:qFormat/>
    <w:uiPriority w:val="0"/>
    <w:rPr>
      <w:rFonts w:ascii="宋体" w:hAnsi="宋体" w:eastAsia="宋体" w:cs="宋体"/>
      <w:sz w:val="21"/>
      <w:szCs w:val="21"/>
      <w:lang w:val="en-US" w:eastAsia="en-US" w:bidi="ar-SA"/>
    </w:rPr>
  </w:style>
  <w:style w:type="paragraph" w:customStyle="1" w:styleId="25">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6">
    <w:name w:val="标题 2 Char"/>
    <w:link w:val="3"/>
    <w:qFormat/>
    <w:uiPriority w:val="0"/>
    <w:rPr>
      <w:rFonts w:ascii="Arial" w:hAnsi="Arial" w:eastAsia="宋体"/>
      <w:b/>
      <w:sz w:val="24"/>
    </w:rPr>
  </w:style>
  <w:style w:type="character" w:customStyle="1" w:styleId="27">
    <w:name w:val="标题 1 字符"/>
    <w:link w:val="2"/>
    <w:qFormat/>
    <w:uiPriority w:val="0"/>
    <w:rPr>
      <w:rFonts w:eastAsia="宋体"/>
      <w:b/>
      <w:kern w:val="44"/>
      <w:sz w:val="44"/>
    </w:rPr>
  </w:style>
  <w:style w:type="character" w:customStyle="1" w:styleId="28">
    <w:name w:val="标题 3 Char"/>
    <w:link w:val="4"/>
    <w:qFormat/>
    <w:uiPriority w:val="0"/>
    <w:rPr>
      <w:rFonts w:hAnsi="Calibri" w:eastAsia="宋体"/>
      <w:b/>
      <w:sz w:val="24"/>
    </w:rPr>
  </w:style>
  <w:style w:type="character" w:customStyle="1" w:styleId="29">
    <w:name w:val="标题 2 字符"/>
    <w:link w:val="3"/>
    <w:qFormat/>
    <w:uiPriority w:val="0"/>
    <w:rPr>
      <w:rFonts w:ascii="Arial" w:hAnsi="Arial" w:eastAsia="宋体"/>
      <w:b/>
      <w:sz w:val="24"/>
    </w:rPr>
  </w:style>
  <w:style w:type="character" w:customStyle="1" w:styleId="30">
    <w:name w:val="标题 3 字符"/>
    <w:link w:val="4"/>
    <w:qFormat/>
    <w:uiPriority w:val="0"/>
    <w:rPr>
      <w:rFonts w:hAnsi="Calibri" w:eastAsia="宋体"/>
      <w:b/>
      <w:sz w:val="24"/>
    </w:rPr>
  </w:style>
  <w:style w:type="table" w:customStyle="1" w:styleId="31">
    <w:name w:val="Table Normal_0"/>
    <w:unhideWhenUsed/>
    <w:qFormat/>
    <w:uiPriority w:val="0"/>
    <w:rPr>
      <w:lang w:val="en-US" w:eastAsia="zh-CN" w:bidi="ar-SA"/>
    </w:rPr>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40728</Words>
  <Characters>43089</Characters>
  <Lines>1</Lines>
  <Paragraphs>1</Paragraphs>
  <TotalTime>2</TotalTime>
  <ScaleCrop>false</ScaleCrop>
  <LinksUpToDate>false</LinksUpToDate>
  <CharactersWithSpaces>43448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2014-11-08T12:08:00Z</dcterms:created>
  <dc:creator>Administrator</dc:creator>
  <cp:lastModifiedBy>hccb</cp:lastModifiedBy>
  <dcterms:modified xsi:type="dcterms:W3CDTF">2026-07-20T07:53:56Z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C24F90C9CAF9B5F2B6854F6AEB6C2FF1_43</vt:lpwstr>
  </property>
  <property fmtid="{D5CDD505-2E9C-101B-9397-08002B2CF9AE}" pid="3" name="KSOProductBuildVer">
    <vt:lpwstr>2052-11.8.2.8411</vt:lpwstr>
  </property>
</Properties>
</file>