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幸福99金钱包38号理财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Z7002224000270</w:t>
      </w:r>
      <w:r>
        <w:rPr>
          <w:rFonts w:hint="eastAsia" w:ascii="宋体" w:hAnsi="宋体" w:cs="宋体"/>
          <w:bCs/>
          <w:color w:val="000000"/>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color w:val="000000"/>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color w:val="000000"/>
          <w:sz w:val="24"/>
          <w:szCs w:val="24"/>
          <w:highlight w:val="none"/>
        </w:rPr>
        <w:t>本理财计划是非保本净值型产品。管理人对本理财计划的本金和收益不提供保证承诺。</w:t>
      </w:r>
      <w:r>
        <w:rPr>
          <w:rFonts w:hint="eastAsia" w:ascii="宋体" w:hAnsi="宋体" w:cs="宋体"/>
          <w:bCs/>
          <w:color w:val="000000"/>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color w:val="000000"/>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www.hzbankwealth.com.cn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理财计划销售协议书：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color w:val="000000"/>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理财计划合同/销售文件：</w:t>
      </w:r>
      <w:r>
        <w:rPr>
          <w:rFonts w:hint="eastAsia" w:ascii="宋体" w:hAnsi="宋体" w:cs="宋体"/>
          <w:bCs/>
          <w:color w:val="000000"/>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幸福99金钱包38号理财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摆动定价机制：</w:t>
      </w:r>
      <w:r>
        <w:rPr>
          <w:rFonts w:hint="eastAsia" w:ascii="宋体" w:hAnsi="宋体" w:cs="宋体"/>
          <w:bCs/>
          <w:color w:val="000000"/>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短期赎回费机制：</w:t>
      </w:r>
      <w:r>
        <w:rPr>
          <w:rFonts w:hint="eastAsia" w:ascii="宋体" w:hAnsi="宋体" w:cs="宋体"/>
          <w:bCs/>
          <w:color w:val="000000"/>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R1</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adjustRightInd/>
              <w:spacing w:line="360" w:lineRule="auto"/>
              <w:jc w:val="center"/>
              <w:rPr>
                <w:rFonts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adjustRightInd/>
              <w:spacing w:line="360" w:lineRule="auto"/>
              <w:jc w:val="center"/>
              <w:rPr>
                <w:rFonts w:ascii="宋体" w:hAnsi="宋体" w:cs="宋体"/>
                <w:b/>
                <w:bCs/>
                <w:color w:val="000000"/>
                <w:kern w:val="2"/>
                <w:highlight w:val="none"/>
              </w:rPr>
            </w:pPr>
            <w:r>
              <w:rPr>
                <w:rFonts w:hint="eastAsia" w:ascii="宋体" w:hAnsi="宋体" w:cs="宋体"/>
                <w:b/>
                <w:bCs/>
                <w:color w:val="000000"/>
                <w:kern w:val="2"/>
                <w:highlight w:val="none"/>
              </w:rPr>
              <w:t>谨慎型、稳健型、平衡型、进取型、激进型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adjustRightInd/>
              <w:spacing w:line="360" w:lineRule="auto"/>
              <w:jc w:val="center"/>
              <w:rPr>
                <w:rFonts w:ascii="宋体" w:hAnsi="宋体" w:cs="宋体"/>
                <w:bCs/>
                <w:color w:val="auto"/>
                <w:kern w:val="2"/>
                <w:highlight w:val="none"/>
              </w:rPr>
            </w:pPr>
            <w:r>
              <w:rPr>
                <w:rFonts w:hint="eastAsia" w:ascii="宋体" w:hAnsi="宋体" w:cs="宋体"/>
                <w:bCs/>
                <w:color w:val="000000"/>
                <w:kern w:val="2"/>
                <w:highlight w:val="none"/>
              </w:rPr>
              <w:t>激进型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000000"/>
          <w:kern w:val="2"/>
          <w:highlight w:val="none"/>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幸福99金钱包38号理财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产品简称</w:t>
            </w:r>
          </w:p>
        </w:tc>
        <w:tc>
          <w:tcPr>
            <w:tcW w:w="7185" w:type="dxa"/>
            <w:noWrap w:val="0"/>
            <w:vAlign w:val="center"/>
          </w:tcPr>
          <w:p>
            <w:pPr>
              <w:widowControl/>
              <w:spacing w:line="360" w:lineRule="auto"/>
              <w:contextualSpacing/>
              <w:rPr>
                <w:rFonts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金钱包38号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JQB2438</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Z7002224000270</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〖谨慎型、稳健型、平衡型、进取型、激进型〗的〖个人、机构投资者〗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sz w:val="21"/>
                <w:szCs w:val="21"/>
                <w:highlight w:val="none"/>
              </w:rPr>
              <w:t>投资者风险承受能力评级水平以销售机构评估为准。</w:t>
            </w:r>
          </w:p>
          <w:p>
            <w:pPr>
              <w:pageBreakBefore w:val="0"/>
              <w:spacing w:line="360" w:lineRule="auto"/>
              <w:ind w:left="-1" w:right="-1"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A份额（销售代码〖JQB2438A〗）：普通个人投资者和机构客户。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B份额（销售代码〖JQB2438B〗）：普通个人投资者和机构客户。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C份额（销售代码〖JQB2438C〗）：普通个人投资者和机构客户。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D份额（销售代码〖JQB2438D〗）：普通个人投资者和机构客户。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E份额（销售代码〖JQB2438E〗）：普通个人投资者和机构客户。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F份额（销售代码〖JQB2438F〗）：普通个人投资者和机构客户。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H份额（销售代码〖JQB2438H〗）：普通个人投资者和机构客户。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〖现金管理〗类，非保本浮动收益型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〖200〗亿元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〖A份额〗起点〖0.01〗元整，超过认购/申购起点部分，应为〖0.01〗元的整数倍。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〖H份额〗起点〖0.01〗元整，超过认购/申购起点部分，应为〖0.01〗元的整数倍。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widowControl/>
              <w:spacing w:line="360" w:lineRule="auto"/>
              <w:contextualSpacing/>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1</w:t>
            </w:r>
            <w:r>
              <w:rPr>
                <w:rFonts w:hint="eastAsia" w:ascii="宋体" w:hAnsi="宋体" w:cs="宋体"/>
                <w:color w:val="000000"/>
                <w:sz w:val="21"/>
                <w:szCs w:val="21"/>
                <w:highlight w:val="none"/>
                <w:lang w:eastAsia="zh-CN"/>
              </w:rPr>
              <w:t>000</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〗为申购赎回开放日。</w:t>
            </w:r>
          </w:p>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〗。工作时间之外的申购和赎回申请，视同为下一工作时间内的预申请。</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rPr>
              <w:t>之前可以撤单。（具体以销售机构规定为准）</w:t>
            </w:r>
          </w:p>
          <w:p>
            <w:pPr>
              <w:widowControl/>
              <w:spacing w:line="360" w:lineRule="auto"/>
              <w:contextualSpacing/>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4.开放日工作时间外提交的预交易申请，在下个开放日下午</w:t>
            </w:r>
            <w:r>
              <w:rPr>
                <w:rFonts w:hint="eastAsia" w:ascii="宋体" w:hAnsi="宋体" w:cs="宋体"/>
                <w:color w:val="000000"/>
                <w:sz w:val="21"/>
                <w:szCs w:val="21"/>
                <w:highlight w:val="none"/>
              </w:rPr>
              <w:t>〖17:00〗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ascii="宋体" w:hAnsi="宋体" w:cs="宋体"/>
                <w:bCs/>
                <w:sz w:val="21"/>
                <w:szCs w:val="21"/>
                <w:highlight w:val="none"/>
              </w:rPr>
            </w:pPr>
            <w:r>
              <w:rPr>
                <w:rFonts w:hint="eastAsia" w:ascii="宋体" w:hAnsi="宋体" w:cs="宋体"/>
                <w:bCs/>
                <w:color w:val="000000"/>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1.</w:t>
            </w:r>
            <w:r>
              <w:rPr>
                <w:rFonts w:hint="eastAsia" w:ascii="宋体" w:hAnsi="宋体" w:eastAsia="宋体" w:cs="宋体"/>
                <w:color w:val="000000"/>
                <w:kern w:val="2"/>
                <w:sz w:val="21"/>
                <w:szCs w:val="21"/>
                <w:highlight w:val="none"/>
                <w:lang w:val="en-US" w:eastAsia="zh-CN" w:bidi="ar-SA"/>
              </w:rPr>
              <w:t>〖A份额〗单户持有上限为〖3〗千万元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〖H份额〗单户持有上限为〖3〗千万元</w:t>
            </w:r>
          </w:p>
          <w:p>
            <w:pPr>
              <w:widowControl/>
              <w:spacing w:line="360" w:lineRule="auto"/>
              <w:contextualSpacing/>
              <w:rPr>
                <w:rFonts w:hint="eastAsia" w:ascii="宋体" w:hAnsi="宋体" w:cs="宋体"/>
                <w:color w:val="FF0000"/>
                <w:sz w:val="21"/>
                <w:szCs w:val="21"/>
                <w:highlight w:val="none"/>
              </w:rPr>
            </w:pPr>
            <w:r>
              <w:rPr>
                <w:rFonts w:hint="eastAsia" w:ascii="宋体" w:hAnsi="宋体" w:cs="宋体"/>
                <w:color w:val="000000"/>
                <w:sz w:val="21"/>
                <w:szCs w:val="21"/>
                <w:highlight w:val="none"/>
                <w:lang w:eastAsia="zh-CN"/>
              </w:rPr>
              <w:t>上述份额</w:t>
            </w:r>
            <w:r>
              <w:rPr>
                <w:rFonts w:hint="eastAsia" w:ascii="宋体" w:hAnsi="宋体" w:cs="宋体"/>
                <w:color w:val="000000"/>
                <w:sz w:val="21"/>
                <w:szCs w:val="21"/>
                <w:highlight w:val="none"/>
              </w:rPr>
              <w:t>单笔赎回最低份额为〖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，超过部分应为〖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的整数倍。</w:t>
            </w:r>
          </w:p>
          <w:p>
            <w:pPr>
              <w:widowControl/>
              <w:spacing w:line="360" w:lineRule="auto"/>
              <w:contextualSpacing/>
              <w:rPr>
                <w:rFonts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。受理财收益分配去尾规则的影响，投资者持有理财计划份额较低时可能无法取得收益。</w:t>
            </w:r>
          </w:p>
          <w:p>
            <w:pPr>
              <w:widowControl/>
              <w:spacing w:line="360" w:lineRule="auto"/>
              <w:contextualSpacing/>
              <w:rPr>
                <w:rFonts w:ascii="宋体" w:hAnsi="宋体" w:cs="宋体"/>
                <w:sz w:val="21"/>
                <w:szCs w:val="21"/>
                <w:highlight w:val="none"/>
              </w:rPr>
            </w:pPr>
            <w:r>
              <w:rPr>
                <w:rFonts w:hint="eastAsia" w:ascii="宋体" w:hAnsi="宋体" w:cs="宋体"/>
                <w:color w:val="000000"/>
                <w:sz w:val="21"/>
                <w:szCs w:val="21"/>
                <w:highlight w:val="none"/>
              </w:rPr>
              <w:t>3.在理财计划存续期内，管理人有权根据市场情况变化调整单户限额比例，具体以管理人公告为准。</w:t>
            </w:r>
          </w:p>
          <w:p>
            <w:pPr>
              <w:widowControl/>
              <w:spacing w:line="360" w:lineRule="auto"/>
              <w:contextualSpacing/>
              <w:rPr>
                <w:rFonts w:ascii="宋体" w:hAnsi="宋体" w:cs="宋体"/>
                <w:sz w:val="21"/>
                <w:szCs w:val="21"/>
                <w:highlight w:val="none"/>
              </w:rPr>
            </w:pPr>
            <w:r>
              <w:rPr>
                <w:rFonts w:hint="eastAsia" w:ascii="宋体" w:hAnsi="宋体" w:cs="宋体"/>
                <w:color w:val="000000"/>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w:t>
            </w:r>
            <w:r>
              <w:rPr>
                <w:rFonts w:hint="eastAsia" w:ascii="宋体" w:hAnsi="宋体" w:cs="宋体"/>
                <w:color w:val="000000"/>
                <w:sz w:val="21"/>
                <w:szCs w:val="21"/>
                <w:highlight w:val="none"/>
              </w:rPr>
              <w:t>1元</w:t>
            </w:r>
            <w:r>
              <w:rPr>
                <w:rFonts w:hint="eastAsia" w:ascii="宋体" w:hAnsi="宋体" w:cs="宋体"/>
                <w:bCs/>
                <w:color w:val="000000"/>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1.本理财计划不保障本金和收益。收益每日计算，〖按日结转为份额〗。具体分配方案以管理人公告为准。</w:t>
            </w:r>
          </w:p>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〖B份额〗收取年化〖0%〗的销售服务费, 〖C份额〗收取年化〖0%〗的销售服务费, 〖D份额〗收取年化〖0.05%〗的销售服务费, 〖E份额〗收取年化〖0.10%〗的销售服务费, 〖F份额〗收取年化〖0%〗的销售服务费, 〖H份额〗收取年化〖0%〗的销售服务费。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〖B份额〗收取年化〖0.50%〗的固定管理费, 〖C份额〗收取年化〖0.50%〗的固定管理费, 〖D份额〗收取年化〖0.40%〗的固定管理费, 〖E份额〗收取年化〖0.40%〗的固定管理费, 〖F份额〗收取年化〖0.50%〗的固定管理费, 〖H份额〗收取年化〖0.60%〗的固定管理费。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本理财计划免除赎回费（不包含强制赎回费）。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ascii="宋体" w:hAnsi="宋体" w:cs="宋体"/>
                <w:color w:val="000000"/>
                <w:sz w:val="21"/>
                <w:szCs w:val="21"/>
                <w:highlight w:val="none"/>
              </w:rPr>
              <w:t>本理财计划免除浮动管理费。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000000"/>
          <w:kern w:val="2"/>
          <w:sz w:val="24"/>
          <w:szCs w:val="24"/>
          <w:highlight w:val="none"/>
        </w:rPr>
        <w:t>本理财计划自成立日起</w:t>
      </w:r>
      <w:r>
        <w:rPr>
          <w:rFonts w:hint="eastAsia" w:ascii="宋体" w:hAnsi="宋体" w:eastAsia="宋体" w:cs="宋体"/>
          <w:bCs/>
          <w:color w:val="000000"/>
          <w:kern w:val="2"/>
          <w:sz w:val="24"/>
          <w:szCs w:val="24"/>
          <w:highlight w:val="none"/>
          <w:lang w:val="en-US" w:eastAsia="zh-CN" w:bidi="ar-SA"/>
        </w:rPr>
        <w:t>3个月</w:t>
      </w:r>
      <w:r>
        <w:rPr>
          <w:rFonts w:hint="eastAsia" w:ascii="宋体" w:hAnsi="宋体" w:cs="宋体"/>
          <w:bCs/>
          <w:color w:val="000000"/>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期限</w:t>
      </w:r>
      <w:r>
        <w:rPr>
          <w:rFonts w:hint="eastAsia" w:ascii="宋体" w:hAnsi="宋体" w:cs="宋体"/>
          <w:color w:val="000000"/>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000000"/>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color w:val="000000"/>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w:t>
      </w:r>
      <w:r>
        <w:rPr>
          <w:rFonts w:hint="eastAsia" w:ascii="宋体" w:hAnsi="宋体" w:cs="宋体"/>
          <w:color w:val="000000"/>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证券投资基金</w:t>
      </w:r>
      <w:r>
        <w:rPr>
          <w:rFonts w:ascii="宋体" w:hAnsi="宋体" w:cs="宋体"/>
          <w:bCs/>
          <w:color w:val="000000"/>
          <w:sz w:val="24"/>
          <w:szCs w:val="24"/>
          <w:highlight w:val="none"/>
        </w:rPr>
        <w:fldChar w:fldCharType="end"/>
      </w:r>
      <w:r>
        <w:rPr>
          <w:rFonts w:ascii="宋体" w:hAnsi="宋体" w:cs="宋体"/>
          <w:bCs/>
          <w:color w:val="000000"/>
          <w:sz w:val="24"/>
          <w:szCs w:val="24"/>
          <w:highlight w:val="none"/>
        </w:rPr>
        <w:t>的市值不得超过该理财</w:t>
      </w:r>
      <w:r>
        <w:rPr>
          <w:rFonts w:hint="eastAsia" w:ascii="宋体" w:hAnsi="宋体" w:cs="宋体"/>
          <w:bCs/>
          <w:color w:val="000000"/>
          <w:sz w:val="24"/>
          <w:szCs w:val="24"/>
          <w:highlight w:val="none"/>
        </w:rPr>
        <w:t>计划</w:t>
      </w:r>
      <w:r>
        <w:rPr>
          <w:rFonts w:ascii="宋体" w:hAnsi="宋体" w:cs="宋体"/>
          <w:bCs/>
          <w:color w:val="000000"/>
          <w:sz w:val="24"/>
          <w:szCs w:val="24"/>
          <w:highlight w:val="none"/>
        </w:rPr>
        <w:t>净资产</w:t>
      </w:r>
      <w:r>
        <w:rPr>
          <w:rFonts w:hint="eastAsia" w:ascii="宋体" w:hAnsi="宋体" w:cs="宋体"/>
          <w:bCs/>
          <w:color w:val="000000"/>
          <w:sz w:val="24"/>
          <w:szCs w:val="24"/>
          <w:highlight w:val="none"/>
        </w:rPr>
        <w:t>的</w:t>
      </w:r>
      <w:r>
        <w:rPr>
          <w:rFonts w:ascii="宋体" w:hAnsi="宋体" w:cs="宋体"/>
          <w:bCs/>
          <w:color w:val="000000"/>
          <w:sz w:val="24"/>
          <w:szCs w:val="24"/>
          <w:highlight w:val="none"/>
        </w:rPr>
        <w:t>10%</w:t>
      </w:r>
      <w:r>
        <w:rPr>
          <w:rFonts w:hint="eastAsia" w:ascii="宋体" w:hAnsi="宋体" w:cs="宋体"/>
          <w:bCs/>
          <w:color w:val="000000"/>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本理财计划投资于所有主体信用评级</w:t>
      </w:r>
      <w:r>
        <w:rPr>
          <w:rFonts w:hint="eastAsia" w:ascii="宋体" w:hAnsi="宋体" w:cs="宋体"/>
          <w:color w:val="000000"/>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color w:val="000000"/>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当前10名</w:t>
      </w:r>
      <w:r>
        <w:rPr>
          <w:rFonts w:hint="eastAsia" w:ascii="宋体" w:hAnsi="宋体" w:cs="宋体"/>
          <w:color w:val="000000"/>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当</w:t>
      </w:r>
      <w:r>
        <w:rPr>
          <w:rFonts w:hint="eastAsia" w:ascii="宋体" w:hAnsi="宋体" w:cs="宋体"/>
          <w:bCs/>
          <w:color w:val="000000"/>
          <w:sz w:val="24"/>
          <w:szCs w:val="24"/>
          <w:highlight w:val="none"/>
        </w:rPr>
        <w:t>前10名</w:t>
      </w:r>
      <w:r>
        <w:rPr>
          <w:rFonts w:hint="eastAsia" w:ascii="宋体" w:hAnsi="宋体" w:cs="宋体"/>
          <w:color w:val="000000"/>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本理财计划投资到期日在中央银行票据、政策性金融债券</w:t>
      </w:r>
      <w:r>
        <w:rPr>
          <w:rFonts w:hint="eastAsia" w:ascii="宋体" w:hAnsi="宋体" w:cs="宋体"/>
          <w:color w:val="000000"/>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资产支持证券</w:t>
      </w:r>
      <w:r>
        <w:rPr>
          <w:rFonts w:ascii="宋体" w:hAnsi="宋体" w:cs="宋体"/>
          <w:bCs/>
          <w:color w:val="000000"/>
          <w:sz w:val="24"/>
          <w:szCs w:val="24"/>
          <w:highlight w:val="none"/>
        </w:rPr>
        <w:fldChar w:fldCharType="end"/>
      </w:r>
      <w:r>
        <w:rPr>
          <w:rFonts w:hint="eastAsia" w:ascii="宋体" w:hAnsi="宋体" w:cs="宋体"/>
          <w:bCs/>
          <w:color w:val="000000"/>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以上风险仅为列举性质，未能详尽列明拟投资市场和资产面临的全部流动性风险</w:t>
      </w:r>
      <w:r>
        <w:rPr>
          <w:rFonts w:ascii="宋体" w:hAnsi="宋体" w:cs="宋体"/>
          <w:bCs/>
          <w:color w:val="000000"/>
          <w:sz w:val="24"/>
          <w:szCs w:val="24"/>
          <w:highlight w:val="none"/>
        </w:rPr>
        <w:t>可能导致投资者投资本金及收益损失</w:t>
      </w:r>
      <w:r>
        <w:rPr>
          <w:rFonts w:hint="eastAsia" w:ascii="宋体" w:hAnsi="宋体" w:cs="宋体"/>
          <w:bCs/>
          <w:color w:val="000000"/>
          <w:sz w:val="24"/>
          <w:szCs w:val="24"/>
          <w:highlight w:val="none"/>
        </w:rPr>
        <w:t>或延期兑付</w:t>
      </w:r>
      <w:r>
        <w:rPr>
          <w:rFonts w:ascii="宋体" w:hAnsi="宋体" w:cs="宋体"/>
          <w:bCs/>
          <w:color w:val="000000"/>
          <w:sz w:val="24"/>
          <w:szCs w:val="24"/>
          <w:highlight w:val="none"/>
        </w:rPr>
        <w:t>的所有因素</w:t>
      </w:r>
      <w:r>
        <w:rPr>
          <w:rFonts w:hint="eastAsia" w:ascii="宋体" w:hAnsi="宋体" w:cs="宋体"/>
          <w:bCs/>
          <w:color w:val="000000"/>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spacing w:line="360" w:lineRule="auto"/>
              <w:jc w:val="center"/>
              <w:rPr>
                <w:rFonts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spacing w:line="360" w:lineRule="auto"/>
              <w:jc w:val="left"/>
              <w:rPr>
                <w:rFonts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spacing w:line="360" w:lineRule="auto"/>
              <w:jc w:val="center"/>
              <w:rPr>
                <w:rFonts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spacing w:line="360" w:lineRule="auto"/>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spacing w:line="360" w:lineRule="auto"/>
              <w:jc w:val="center"/>
              <w:rPr>
                <w:rFonts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spacing w:line="360" w:lineRule="auto"/>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color w:val="000000"/>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中信银行股份有限公司</w:t>
            </w:r>
          </w:p>
        </w:tc>
        <w:tc>
          <w:tcPr>
            <w:tcW w:w="1200" w:type="dxa"/>
            <w:vAlign w:val="center"/>
          </w:tcPr>
          <w:p>
            <w:pPr>
              <w:jc w:val="left"/>
            </w:pPr>
            <w:r>
              <w:t>住所</w:t>
            </w:r>
          </w:p>
        </w:tc>
        <w:tc>
          <w:tcPr>
            <w:tcW w:w="3800" w:type="dxa"/>
            <w:vAlign w:val="center"/>
          </w:tcPr>
          <w:p>
            <w:pPr>
              <w:jc w:val="center"/>
            </w:pPr>
            <w:r>
              <w:t>北京市朝阳区光华路10号院1号楼6-30层、32-42层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4006800000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中山农村商业银行股份有限公司</w:t>
            </w:r>
          </w:p>
        </w:tc>
        <w:tc>
          <w:tcPr>
            <w:tcW w:w="1200" w:type="dxa"/>
            <w:vAlign w:val="center"/>
          </w:tcPr>
          <w:p>
            <w:pPr>
              <w:jc w:val="left"/>
            </w:pPr>
            <w:r>
              <w:t>住所</w:t>
            </w:r>
          </w:p>
        </w:tc>
        <w:tc>
          <w:tcPr>
            <w:tcW w:w="3800" w:type="dxa"/>
            <w:vAlign w:val="center"/>
          </w:tcPr>
          <w:p>
            <w:pPr>
              <w:jc w:val="center"/>
            </w:pPr>
            <w: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平安银行股份有限公司</w:t>
            </w:r>
          </w:p>
        </w:tc>
        <w:tc>
          <w:tcPr>
            <w:tcW w:w="1200" w:type="dxa"/>
            <w:vAlign w:val="center"/>
          </w:tcPr>
          <w:p>
            <w:pPr>
              <w:jc w:val="left"/>
            </w:pPr>
            <w:r>
              <w:t>住所</w:t>
            </w:r>
          </w:p>
        </w:tc>
        <w:tc>
          <w:tcPr>
            <w:tcW w:w="3800" w:type="dxa"/>
            <w:vAlign w:val="center"/>
          </w:tcPr>
          <w:p>
            <w:pPr>
              <w:jc w:val="center"/>
            </w:pPr>
            <w:r>
              <w:t>广东省深圳市罗湖区深南东路5047号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广西北部湾银行股份有限公司</w:t>
            </w:r>
          </w:p>
        </w:tc>
        <w:tc>
          <w:tcPr>
            <w:tcW w:w="1200" w:type="dxa"/>
            <w:vAlign w:val="center"/>
          </w:tcPr>
          <w:p>
            <w:pPr>
              <w:jc w:val="left"/>
            </w:pPr>
            <w:r>
              <w:t>住所</w:t>
            </w:r>
          </w:p>
        </w:tc>
        <w:tc>
          <w:tcPr>
            <w:tcW w:w="3800" w:type="dxa"/>
            <w:vAlign w:val="center"/>
          </w:tcPr>
          <w:p>
            <w:pPr>
              <w:jc w:val="center"/>
            </w:pPr>
            <w:r>
              <w:t>南宁市良庆区云英路8号五象总部大厦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40000-96288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江苏紫金农村商业银行股份有限公司</w:t>
            </w:r>
          </w:p>
        </w:tc>
        <w:tc>
          <w:tcPr>
            <w:tcW w:w="1200" w:type="dxa"/>
            <w:vAlign w:val="center"/>
          </w:tcPr>
          <w:p>
            <w:pPr>
              <w:jc w:val="left"/>
            </w:pPr>
            <w:r>
              <w:t>住所</w:t>
            </w:r>
          </w:p>
        </w:tc>
        <w:tc>
          <w:tcPr>
            <w:tcW w:w="3800" w:type="dxa"/>
            <w:vAlign w:val="center"/>
          </w:tcPr>
          <w:p>
            <w:pPr>
              <w:jc w:val="center"/>
            </w:pPr>
            <w: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浙江桐乡农村商业银行股份有限公司</w:t>
            </w:r>
          </w:p>
        </w:tc>
        <w:tc>
          <w:tcPr>
            <w:tcW w:w="1200" w:type="dxa"/>
            <w:vAlign w:val="center"/>
          </w:tcPr>
          <w:p>
            <w:pPr>
              <w:jc w:val="left"/>
            </w:pPr>
            <w:r>
              <w:t>住所</w:t>
            </w:r>
          </w:p>
        </w:tc>
        <w:tc>
          <w:tcPr>
            <w:tcW w:w="3800" w:type="dxa"/>
            <w:vAlign w:val="center"/>
          </w:tcPr>
          <w:p>
            <w:pPr>
              <w:jc w:val="center"/>
            </w:pPr>
            <w:r>
              <w:t>浙江省桐乡市校场东路59号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蒙商银行股份有限公司</w:t>
            </w:r>
          </w:p>
        </w:tc>
        <w:tc>
          <w:tcPr>
            <w:tcW w:w="1200" w:type="dxa"/>
            <w:vAlign w:val="center"/>
          </w:tcPr>
          <w:p>
            <w:pPr>
              <w:jc w:val="left"/>
            </w:pPr>
            <w:r>
              <w:t>住所</w:t>
            </w:r>
          </w:p>
        </w:tc>
        <w:tc>
          <w:tcPr>
            <w:tcW w:w="3800" w:type="dxa"/>
            <w:vAlign w:val="center"/>
          </w:tcPr>
          <w:p>
            <w:pPr>
              <w:jc w:val="center"/>
            </w:pPr>
            <w:r>
              <w:t>内蒙古自治区包头市九原区赛汗街道办事处建华南路2号A座</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0472-2658888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青岛农村商业银行股份有限公司</w:t>
            </w:r>
          </w:p>
        </w:tc>
        <w:tc>
          <w:tcPr>
            <w:tcW w:w="1200" w:type="dxa"/>
            <w:vAlign w:val="center"/>
          </w:tcPr>
          <w:p>
            <w:pPr>
              <w:jc w:val="left"/>
            </w:pPr>
            <w:r>
              <w:t>住所</w:t>
            </w:r>
          </w:p>
        </w:tc>
        <w:tc>
          <w:tcPr>
            <w:tcW w:w="3800" w:type="dxa"/>
            <w:vAlign w:val="center"/>
          </w:tcPr>
          <w:p>
            <w:pPr>
              <w:jc w:val="center"/>
            </w:pPr>
            <w:r>
              <w:t>青岛</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96668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青海西宁农村商业银行股份有限公司</w:t>
            </w:r>
          </w:p>
        </w:tc>
        <w:tc>
          <w:tcPr>
            <w:tcW w:w="1200" w:type="dxa"/>
            <w:vAlign w:val="center"/>
          </w:tcPr>
          <w:p>
            <w:pPr>
              <w:jc w:val="left"/>
            </w:pPr>
            <w:r>
              <w:t>住所</w:t>
            </w:r>
          </w:p>
        </w:tc>
        <w:tc>
          <w:tcPr>
            <w:tcW w:w="3800" w:type="dxa"/>
            <w:vAlign w:val="center"/>
          </w:tcPr>
          <w:p>
            <w:pPr>
              <w:jc w:val="center"/>
            </w:pPr>
            <w:r>
              <w:t>青海省西宁市城西区海晏路81号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color w:val="000000"/>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spacing w:line="360" w:lineRule="auto"/>
        <w:ind w:firstLine="480" w:firstLineChars="200"/>
        <w:jc w:val="left"/>
        <w:outlineLvl w:val="9"/>
        <w:rPr>
          <w:rFonts w:hint="eastAsia" w:ascii="宋体" w:hAnsi="宋体" w:cs="宋体"/>
          <w:bCs/>
          <w:color w:val="000000"/>
          <w:sz w:val="24"/>
          <w:szCs w:val="24"/>
          <w:highlight w:val="none"/>
        </w:rPr>
      </w:pPr>
      <w:r>
        <w:rPr>
          <w:rFonts w:ascii="宋体" w:hAnsi="宋体" w:cs="宋体"/>
          <w:color w:val="000000"/>
          <w:sz w:val="24"/>
          <w:szCs w:val="24"/>
          <w:highlight w:val="none"/>
        </w:rPr>
        <w:t>影子定价与摊余成本法确定的</w:t>
      </w:r>
      <w:r>
        <w:rPr>
          <w:rFonts w:hint="eastAsia" w:ascii="宋体" w:hAnsi="宋体" w:cs="宋体"/>
          <w:color w:val="000000"/>
          <w:sz w:val="24"/>
          <w:szCs w:val="24"/>
          <w:highlight w:val="none"/>
        </w:rPr>
        <w:t>理财计划</w:t>
      </w:r>
      <w:r>
        <w:rPr>
          <w:rFonts w:ascii="宋体" w:hAnsi="宋体" w:cs="宋体"/>
          <w:color w:val="000000"/>
          <w:sz w:val="24"/>
          <w:szCs w:val="24"/>
          <w:highlight w:val="none"/>
        </w:rPr>
        <w:t>资产净值的偏离度＝</w:t>
      </w:r>
      <w:r>
        <w:rPr>
          <w:rFonts w:ascii="宋体" w:hAnsi="宋体" w:cs="宋体"/>
          <w:color w:val="000000"/>
          <w:sz w:val="24"/>
          <w:szCs w:val="24"/>
          <w:highlight w:val="none"/>
        </w:rPr>
        <w:drawing>
          <wp:inline distT="0" distB="0" distL="114300" distR="114300">
            <wp:extent cx="590550" cy="266065"/>
            <wp:effectExtent l="0" t="0" r="0" b="63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6"/>
                    <a:stretch>
                      <a:fillRect/>
                    </a:stretch>
                  </pic:blipFill>
                  <pic:spPr>
                    <a:xfrm>
                      <a:off x="0" y="0"/>
                      <a:ext cx="590550" cy="266065"/>
                    </a:xfrm>
                    <a:prstGeom prst="rect">
                      <a:avLst/>
                    </a:prstGeom>
                  </pic:spPr>
                </pic:pic>
              </a:graphicData>
            </a:graphic>
          </wp:inline>
        </w:drawing>
      </w:r>
      <w:r>
        <w:rPr>
          <w:rFonts w:ascii="宋体" w:hAnsi="宋体" w:cs="宋体"/>
          <w:color w:val="000000"/>
          <w:sz w:val="24"/>
          <w:szCs w:val="24"/>
          <w:highlight w:val="none"/>
        </w:rPr>
        <w:t>，其中，</w:t>
      </w:r>
      <w:r>
        <w:rPr>
          <w:rFonts w:hint="default" w:ascii="Times New Roman" w:hAnsi="Times New Roman" w:eastAsia="宋体" w:cs="Times New Roman"/>
          <w:i/>
          <w:iCs/>
          <w:color w:val="000000"/>
          <w:kern w:val="2"/>
          <w:sz w:val="23"/>
          <w:szCs w:val="23"/>
          <w:lang w:val="en-US" w:eastAsia="zh-CN" w:bidi="ar"/>
        </w:rPr>
        <w:t>NAV</w:t>
      </w:r>
      <w:r>
        <w:rPr>
          <w:rFonts w:hint="default" w:ascii="Times New Roman" w:hAnsi="Times New Roman" w:eastAsia="宋体" w:cs="Times New Roman"/>
          <w:i/>
          <w:iCs/>
          <w:color w:val="000000"/>
          <w:kern w:val="2"/>
          <w:position w:val="0"/>
          <w:sz w:val="13"/>
          <w:szCs w:val="13"/>
          <w:lang w:val="en-US" w:eastAsia="zh-CN" w:bidi="ar"/>
        </w:rPr>
        <w:t>S</w:t>
      </w:r>
      <w:r>
        <w:rPr>
          <w:rFonts w:ascii="宋体" w:hAnsi="宋体" w:cs="宋体"/>
          <w:color w:val="000000"/>
          <w:sz w:val="24"/>
          <w:szCs w:val="24"/>
          <w:highlight w:val="none"/>
        </w:rPr>
        <w:t>为影子定价确定的资产净值，</w:t>
      </w:r>
      <w:r>
        <w:rPr>
          <w:rFonts w:hint="default" w:ascii="Times New Roman" w:hAnsi="Times New Roman" w:eastAsia="宋体" w:cs="Times New Roman"/>
          <w:i/>
          <w:iCs/>
          <w:color w:val="000000"/>
          <w:kern w:val="2"/>
          <w:sz w:val="23"/>
          <w:szCs w:val="23"/>
          <w:lang w:val="en-US" w:eastAsia="zh-CN" w:bidi="ar"/>
        </w:rPr>
        <w:t>NAV</w:t>
      </w:r>
      <w:r>
        <w:rPr>
          <w:rFonts w:hint="default" w:ascii="Times New Roman" w:hAnsi="Times New Roman" w:eastAsia="宋体" w:cs="Times New Roman"/>
          <w:i/>
          <w:iCs/>
          <w:color w:val="000000"/>
          <w:kern w:val="2"/>
          <w:position w:val="0"/>
          <w:sz w:val="13"/>
          <w:szCs w:val="13"/>
          <w:lang w:val="en-US" w:eastAsia="zh-CN" w:bidi="ar"/>
        </w:rPr>
        <w:t>a</w:t>
      </w:r>
      <w:r>
        <w:rPr>
          <w:rFonts w:ascii="宋体" w:hAnsi="宋体" w:cs="宋体"/>
          <w:color w:val="0000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eastAsia="zh-CN"/>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color w:val="000000"/>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7"/>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color w:val="000000"/>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本理财计划在每个开放日的工作时间可进行申购和赎回，申购和赎回申请将在确认日进行确认，即开放日后的第〖1〗个〖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〗进行确认。</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如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〗〖17:00〗前撤销。</w:t>
      </w:r>
    </w:p>
    <w:tbl>
      <w:tblPr>
        <w:tblStyle w:val="11"/>
        <w:tblpPr w:leftFromText="180" w:rightFromText="180" w:vertAnchor="text" w:horzAnchor="page" w:tblpXSpec="center" w:tblpY="273"/>
        <w:tblOverlap w:val="never"/>
        <w:tblW w:w="823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02"/>
        <w:gridCol w:w="3671"/>
        <w:gridCol w:w="24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jc w:val="center"/>
        </w:trPr>
        <w:tc>
          <w:tcPr>
            <w:tcW w:w="2102" w:type="dxa"/>
            <w:noWrap w:val="0"/>
            <w:vAlign w:val="top"/>
          </w:tcPr>
          <w:p>
            <w:pPr>
              <w:pStyle w:val="24"/>
              <w:spacing w:before="53" w:line="220" w:lineRule="auto"/>
              <w:ind w:left="658"/>
              <w:jc w:val="both"/>
              <w:rPr>
                <w:color w:val="000000"/>
                <w:highlight w:val="none"/>
              </w:rPr>
            </w:pPr>
            <w:r>
              <w:rPr>
                <w:b/>
                <w:bCs/>
                <w:color w:val="000000"/>
                <w:spacing w:val="-11"/>
                <w:highlight w:val="none"/>
              </w:rPr>
              <w:t>申请操作</w:t>
            </w:r>
          </w:p>
        </w:tc>
        <w:tc>
          <w:tcPr>
            <w:tcW w:w="3671" w:type="dxa"/>
            <w:noWrap w:val="0"/>
            <w:vAlign w:val="top"/>
          </w:tcPr>
          <w:p>
            <w:pPr>
              <w:pStyle w:val="24"/>
              <w:spacing w:before="53" w:line="220" w:lineRule="auto"/>
              <w:ind w:left="1444"/>
              <w:jc w:val="both"/>
              <w:rPr>
                <w:color w:val="000000"/>
                <w:highlight w:val="none"/>
              </w:rPr>
            </w:pPr>
            <w:r>
              <w:rPr>
                <w:b/>
                <w:bCs/>
                <w:color w:val="000000"/>
                <w:spacing w:val="-11"/>
                <w:highlight w:val="none"/>
              </w:rPr>
              <w:t>申请时间</w:t>
            </w:r>
          </w:p>
        </w:tc>
        <w:tc>
          <w:tcPr>
            <w:tcW w:w="2466" w:type="dxa"/>
            <w:noWrap w:val="0"/>
            <w:vAlign w:val="top"/>
          </w:tcPr>
          <w:p>
            <w:pPr>
              <w:pStyle w:val="24"/>
              <w:spacing w:before="52" w:line="221" w:lineRule="auto"/>
              <w:ind w:left="816"/>
              <w:jc w:val="both"/>
              <w:rPr>
                <w:color w:val="000000"/>
                <w:highlight w:val="none"/>
              </w:rPr>
            </w:pPr>
            <w:r>
              <w:rPr>
                <w:b/>
                <w:bCs/>
                <w:color w:val="000000"/>
                <w:spacing w:val="-4"/>
                <w:highlight w:val="none"/>
              </w:rPr>
              <w:t>确认日期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2" w:hRule="atLeast"/>
          <w:jc w:val="center"/>
        </w:trPr>
        <w:tc>
          <w:tcPr>
            <w:tcW w:w="2102" w:type="dxa"/>
            <w:vMerge w:val="restart"/>
            <w:tcBorders>
              <w:bottom w:val="nil"/>
            </w:tcBorders>
            <w:noWrap w:val="0"/>
            <w:vAlign w:val="top"/>
          </w:tcPr>
          <w:p>
            <w:pPr>
              <w:pStyle w:val="24"/>
              <w:spacing w:before="68" w:line="220" w:lineRule="auto"/>
              <w:ind w:left="869"/>
              <w:jc w:val="both"/>
              <w:rPr>
                <w:color w:val="000000"/>
                <w:highlight w:val="none"/>
              </w:rPr>
            </w:pPr>
            <w:r>
              <w:rPr>
                <w:b/>
                <w:bCs/>
                <w:color w:val="000000"/>
                <w:spacing w:val="-20"/>
                <w:highlight w:val="none"/>
              </w:rPr>
              <w:t>申购</w:t>
            </w:r>
          </w:p>
        </w:tc>
        <w:tc>
          <w:tcPr>
            <w:tcW w:w="3671" w:type="dxa"/>
            <w:noWrap w:val="0"/>
            <w:vAlign w:val="top"/>
          </w:tcPr>
          <w:p>
            <w:pPr>
              <w:pStyle w:val="24"/>
              <w:spacing w:before="204" w:line="222" w:lineRule="auto"/>
              <w:ind w:left="384"/>
              <w:jc w:val="both"/>
              <w:rPr>
                <w:color w:val="000000"/>
                <w:highlight w:val="none"/>
              </w:rPr>
            </w:pPr>
            <w:r>
              <w:rPr>
                <w:b/>
                <w:bCs/>
                <w:color w:val="000000"/>
                <w:spacing w:val="-6"/>
                <w:highlight w:val="none"/>
              </w:rPr>
              <w:t>T日0:00-17:00（T为开放日）</w:t>
            </w:r>
          </w:p>
        </w:tc>
        <w:tc>
          <w:tcPr>
            <w:tcW w:w="2466" w:type="dxa"/>
            <w:noWrap w:val="0"/>
            <w:vAlign w:val="top"/>
          </w:tcPr>
          <w:p>
            <w:pPr>
              <w:pStyle w:val="24"/>
              <w:spacing w:before="47" w:line="248" w:lineRule="auto"/>
              <w:ind w:left="817" w:right="172" w:hanging="606"/>
              <w:jc w:val="both"/>
              <w:rPr>
                <w:color w:val="000000"/>
                <w:highlight w:val="none"/>
                <w:lang w:eastAsia="zh-CN"/>
              </w:rPr>
            </w:pPr>
            <w:r>
              <w:rPr>
                <w:b/>
                <w:bCs/>
                <w:color w:val="000000"/>
                <w:spacing w:val="-5"/>
                <w:highlight w:val="none"/>
                <w:lang w:eastAsia="zh-CN"/>
              </w:rPr>
              <w:t>申购申请日后第一个工</w:t>
            </w:r>
            <w:r>
              <w:rPr>
                <w:b/>
                <w:bCs/>
                <w:color w:val="000000"/>
                <w:spacing w:val="-4"/>
                <w:highlight w:val="none"/>
                <w:lang w:eastAsia="zh-CN"/>
              </w:rPr>
              <w:t>作日确认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jc w:val="center"/>
        </w:trPr>
        <w:tc>
          <w:tcPr>
            <w:tcW w:w="2102" w:type="dxa"/>
            <w:vMerge w:val="continue"/>
            <w:tcBorders>
              <w:top w:val="nil"/>
              <w:bottom w:val="nil"/>
            </w:tcBorders>
            <w:noWrap w:val="0"/>
            <w:vAlign w:val="top"/>
          </w:tcPr>
          <w:p/>
        </w:tc>
        <w:tc>
          <w:tcPr>
            <w:tcW w:w="3671" w:type="dxa"/>
            <w:noWrap w:val="0"/>
            <w:vAlign w:val="top"/>
          </w:tcPr>
          <w:p>
            <w:pPr>
              <w:pStyle w:val="24"/>
              <w:spacing w:before="206" w:line="222" w:lineRule="auto"/>
              <w:ind w:left="332"/>
              <w:jc w:val="both"/>
              <w:rPr>
                <w:color w:val="000000"/>
                <w:highlight w:val="none"/>
              </w:rPr>
            </w:pPr>
            <w:r>
              <w:rPr>
                <w:b/>
                <w:bCs/>
                <w:color w:val="000000"/>
                <w:spacing w:val="-6"/>
                <w:highlight w:val="none"/>
              </w:rPr>
              <w:t>T日17:00-24:00（T为开放日）</w:t>
            </w:r>
          </w:p>
        </w:tc>
        <w:tc>
          <w:tcPr>
            <w:tcW w:w="2466" w:type="dxa"/>
            <w:noWrap w:val="0"/>
            <w:vAlign w:val="top"/>
          </w:tcPr>
          <w:p>
            <w:pPr>
              <w:pStyle w:val="24"/>
              <w:spacing w:before="51" w:line="247" w:lineRule="auto"/>
              <w:ind w:left="817" w:right="172" w:hanging="606"/>
              <w:jc w:val="both"/>
              <w:rPr>
                <w:color w:val="000000"/>
                <w:highlight w:val="none"/>
                <w:lang w:eastAsia="zh-CN"/>
              </w:rPr>
            </w:pPr>
            <w:r>
              <w:rPr>
                <w:b/>
                <w:bCs/>
                <w:color w:val="000000"/>
                <w:spacing w:val="-5"/>
                <w:highlight w:val="none"/>
                <w:lang w:eastAsia="zh-CN"/>
              </w:rPr>
              <w:t>申购申请日后第二个工</w:t>
            </w:r>
            <w:r>
              <w:rPr>
                <w:b/>
                <w:bCs/>
                <w:color w:val="000000"/>
                <w:spacing w:val="-4"/>
                <w:highlight w:val="none"/>
                <w:lang w:eastAsia="zh-CN"/>
              </w:rPr>
              <w:t>作日确认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jc w:val="center"/>
        </w:trPr>
        <w:tc>
          <w:tcPr>
            <w:tcW w:w="2102" w:type="dxa"/>
            <w:vMerge w:val="continue"/>
            <w:tcBorders>
              <w:top w:val="nil"/>
            </w:tcBorders>
            <w:noWrap w:val="0"/>
            <w:vAlign w:val="top"/>
          </w:tcPr>
          <w:p/>
        </w:tc>
        <w:tc>
          <w:tcPr>
            <w:tcW w:w="3671" w:type="dxa"/>
            <w:noWrap w:val="0"/>
            <w:vAlign w:val="top"/>
          </w:tcPr>
          <w:p>
            <w:pPr>
              <w:pStyle w:val="24"/>
              <w:spacing w:before="207" w:line="221" w:lineRule="auto"/>
              <w:ind w:left="1104"/>
              <w:jc w:val="both"/>
              <w:rPr>
                <w:color w:val="000000"/>
                <w:highlight w:val="none"/>
              </w:rPr>
            </w:pPr>
            <w:r>
              <w:rPr>
                <w:b/>
                <w:bCs/>
                <w:color w:val="000000"/>
                <w:spacing w:val="-4"/>
                <w:highlight w:val="none"/>
              </w:rPr>
              <w:t>非开放日全时段</w:t>
            </w:r>
          </w:p>
        </w:tc>
        <w:tc>
          <w:tcPr>
            <w:tcW w:w="2466" w:type="dxa"/>
            <w:noWrap w:val="0"/>
            <w:vAlign w:val="top"/>
          </w:tcPr>
          <w:p>
            <w:pPr>
              <w:pStyle w:val="24"/>
              <w:spacing w:before="51" w:line="247" w:lineRule="auto"/>
              <w:ind w:left="817" w:right="172" w:hanging="606"/>
              <w:jc w:val="both"/>
              <w:rPr>
                <w:color w:val="000000"/>
                <w:highlight w:val="none"/>
                <w:lang w:eastAsia="zh-CN"/>
              </w:rPr>
            </w:pPr>
            <w:r>
              <w:rPr>
                <w:b/>
                <w:bCs/>
                <w:color w:val="000000"/>
                <w:spacing w:val="-5"/>
                <w:highlight w:val="none"/>
                <w:lang w:eastAsia="zh-CN"/>
              </w:rPr>
              <w:t>申购申请日后第二个工</w:t>
            </w:r>
            <w:r>
              <w:rPr>
                <w:b/>
                <w:bCs/>
                <w:color w:val="000000"/>
                <w:spacing w:val="-4"/>
                <w:highlight w:val="none"/>
                <w:lang w:eastAsia="zh-CN"/>
              </w:rPr>
              <w:t>作日确认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2" w:hRule="atLeast"/>
          <w:jc w:val="center"/>
        </w:trPr>
        <w:tc>
          <w:tcPr>
            <w:tcW w:w="2102" w:type="dxa"/>
            <w:vMerge w:val="restart"/>
            <w:tcBorders>
              <w:bottom w:val="nil"/>
            </w:tcBorders>
            <w:noWrap w:val="0"/>
            <w:vAlign w:val="top"/>
          </w:tcPr>
          <w:p>
            <w:pPr>
              <w:pStyle w:val="24"/>
              <w:spacing w:before="68" w:line="220" w:lineRule="auto"/>
              <w:ind w:left="842"/>
              <w:jc w:val="both"/>
              <w:rPr>
                <w:color w:val="000000"/>
                <w:highlight w:val="none"/>
              </w:rPr>
            </w:pPr>
            <w:r>
              <w:rPr>
                <w:b/>
                <w:bCs/>
                <w:color w:val="000000"/>
                <w:spacing w:val="-6"/>
                <w:highlight w:val="none"/>
              </w:rPr>
              <w:t>赎回</w:t>
            </w:r>
          </w:p>
        </w:tc>
        <w:tc>
          <w:tcPr>
            <w:tcW w:w="3671" w:type="dxa"/>
            <w:noWrap w:val="0"/>
            <w:vAlign w:val="top"/>
          </w:tcPr>
          <w:p>
            <w:pPr>
              <w:pStyle w:val="24"/>
              <w:spacing w:before="209" w:line="220" w:lineRule="auto"/>
              <w:ind w:left="174"/>
              <w:jc w:val="both"/>
              <w:rPr>
                <w:color w:val="000000"/>
                <w:highlight w:val="none"/>
              </w:rPr>
            </w:pPr>
            <w:r>
              <w:rPr>
                <w:b/>
                <w:bCs/>
                <w:color w:val="000000"/>
                <w:spacing w:val="-5"/>
                <w:highlight w:val="none"/>
              </w:rPr>
              <w:t>T日0:00-17:00（T为开放</w:t>
            </w:r>
            <w:r>
              <w:rPr>
                <w:b/>
                <w:bCs/>
                <w:color w:val="000000"/>
                <w:spacing w:val="-6"/>
                <w:highlight w:val="none"/>
              </w:rPr>
              <w:t>日）</w:t>
            </w:r>
          </w:p>
        </w:tc>
        <w:tc>
          <w:tcPr>
            <w:tcW w:w="2466" w:type="dxa"/>
            <w:noWrap w:val="0"/>
            <w:vAlign w:val="top"/>
          </w:tcPr>
          <w:p>
            <w:pPr>
              <w:pStyle w:val="24"/>
              <w:spacing w:before="52" w:line="246" w:lineRule="auto"/>
              <w:ind w:left="816" w:right="172" w:hanging="633"/>
              <w:jc w:val="both"/>
              <w:rPr>
                <w:color w:val="000000"/>
                <w:highlight w:val="none"/>
                <w:lang w:eastAsia="zh-CN"/>
              </w:rPr>
            </w:pPr>
            <w:r>
              <w:rPr>
                <w:b/>
                <w:bCs/>
                <w:color w:val="000000"/>
                <w:spacing w:val="-3"/>
                <w:highlight w:val="none"/>
                <w:lang w:eastAsia="zh-CN"/>
              </w:rPr>
              <w:t>赎回申请日后第一个工</w:t>
            </w:r>
            <w:r>
              <w:rPr>
                <w:b/>
                <w:bCs/>
                <w:color w:val="000000"/>
                <w:spacing w:val="-4"/>
                <w:highlight w:val="none"/>
                <w:lang w:eastAsia="zh-CN"/>
              </w:rPr>
              <w:t>作日确认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2" w:hRule="atLeast"/>
          <w:jc w:val="center"/>
        </w:trPr>
        <w:tc>
          <w:tcPr>
            <w:tcW w:w="2102" w:type="dxa"/>
            <w:vMerge w:val="continue"/>
            <w:tcBorders>
              <w:top w:val="nil"/>
              <w:bottom w:val="nil"/>
            </w:tcBorders>
            <w:noWrap w:val="0"/>
            <w:vAlign w:val="top"/>
          </w:tcPr>
          <w:p/>
        </w:tc>
        <w:tc>
          <w:tcPr>
            <w:tcW w:w="3671" w:type="dxa"/>
            <w:noWrap w:val="0"/>
            <w:vAlign w:val="top"/>
          </w:tcPr>
          <w:p>
            <w:pPr>
              <w:pStyle w:val="24"/>
              <w:spacing w:before="211" w:line="220" w:lineRule="auto"/>
              <w:ind w:left="121"/>
              <w:jc w:val="both"/>
              <w:rPr>
                <w:color w:val="000000"/>
                <w:highlight w:val="none"/>
              </w:rPr>
            </w:pPr>
            <w:r>
              <w:rPr>
                <w:b/>
                <w:bCs/>
                <w:color w:val="000000"/>
                <w:spacing w:val="-6"/>
                <w:highlight w:val="none"/>
              </w:rPr>
              <w:t>T日17:00-24:00（T为开放日）</w:t>
            </w:r>
          </w:p>
        </w:tc>
        <w:tc>
          <w:tcPr>
            <w:tcW w:w="2466" w:type="dxa"/>
            <w:noWrap w:val="0"/>
            <w:vAlign w:val="top"/>
          </w:tcPr>
          <w:p>
            <w:pPr>
              <w:pStyle w:val="24"/>
              <w:spacing w:before="54" w:line="245" w:lineRule="auto"/>
              <w:ind w:left="816" w:right="172" w:hanging="633"/>
              <w:jc w:val="both"/>
              <w:rPr>
                <w:color w:val="000000"/>
                <w:highlight w:val="none"/>
                <w:lang w:eastAsia="zh-CN"/>
              </w:rPr>
            </w:pPr>
            <w:r>
              <w:rPr>
                <w:b/>
                <w:bCs/>
                <w:color w:val="000000"/>
                <w:spacing w:val="-3"/>
                <w:highlight w:val="none"/>
                <w:lang w:eastAsia="zh-CN"/>
              </w:rPr>
              <w:t>赎回申请日后第二个工</w:t>
            </w:r>
            <w:r>
              <w:rPr>
                <w:b/>
                <w:bCs/>
                <w:color w:val="000000"/>
                <w:spacing w:val="-4"/>
                <w:highlight w:val="none"/>
                <w:lang w:eastAsia="zh-CN"/>
              </w:rPr>
              <w:t>作日确认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7" w:hRule="atLeast"/>
          <w:jc w:val="center"/>
        </w:trPr>
        <w:tc>
          <w:tcPr>
            <w:tcW w:w="2102" w:type="dxa"/>
            <w:vMerge w:val="continue"/>
            <w:tcBorders>
              <w:top w:val="nil"/>
            </w:tcBorders>
            <w:noWrap w:val="0"/>
            <w:vAlign w:val="top"/>
          </w:tcPr>
          <w:p/>
        </w:tc>
        <w:tc>
          <w:tcPr>
            <w:tcW w:w="3671" w:type="dxa"/>
            <w:noWrap w:val="0"/>
            <w:vAlign w:val="top"/>
          </w:tcPr>
          <w:p>
            <w:pPr>
              <w:pStyle w:val="24"/>
              <w:spacing w:before="212" w:line="221" w:lineRule="auto"/>
              <w:ind w:left="1104"/>
              <w:jc w:val="both"/>
              <w:rPr>
                <w:color w:val="000000"/>
                <w:highlight w:val="none"/>
              </w:rPr>
            </w:pPr>
            <w:r>
              <w:rPr>
                <w:b/>
                <w:bCs/>
                <w:color w:val="000000"/>
                <w:spacing w:val="-4"/>
                <w:highlight w:val="none"/>
              </w:rPr>
              <w:t>非开放日全时段</w:t>
            </w:r>
          </w:p>
        </w:tc>
        <w:tc>
          <w:tcPr>
            <w:tcW w:w="2466" w:type="dxa"/>
            <w:noWrap w:val="0"/>
            <w:vAlign w:val="top"/>
          </w:tcPr>
          <w:p>
            <w:pPr>
              <w:pStyle w:val="24"/>
              <w:spacing w:before="57" w:line="246" w:lineRule="auto"/>
              <w:ind w:left="816" w:right="172" w:hanging="633"/>
              <w:jc w:val="both"/>
              <w:rPr>
                <w:color w:val="000000"/>
                <w:highlight w:val="none"/>
                <w:lang w:eastAsia="zh-CN"/>
              </w:rPr>
            </w:pPr>
            <w:r>
              <w:rPr>
                <w:b/>
                <w:bCs/>
                <w:color w:val="000000"/>
                <w:spacing w:val="-3"/>
                <w:highlight w:val="none"/>
                <w:lang w:eastAsia="zh-CN"/>
              </w:rPr>
              <w:t>赎回申请日后第二个工</w:t>
            </w:r>
            <w:r>
              <w:rPr>
                <w:b/>
                <w:bCs/>
                <w:color w:val="000000"/>
                <w:spacing w:val="-4"/>
                <w:highlight w:val="none"/>
                <w:lang w:eastAsia="zh-CN"/>
              </w:rPr>
              <w:t>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当继续</w:t>
      </w:r>
      <w:r>
        <w:rPr>
          <w:rFonts w:ascii="宋体" w:hAnsi="宋体" w:cs="宋体"/>
          <w:bCs/>
          <w:color w:val="000000"/>
          <w:sz w:val="24"/>
          <w:szCs w:val="24"/>
          <w:highlight w:val="none"/>
        </w:rPr>
        <w:t>接受赎回申请将损害存量投资者利益的情形</w:t>
      </w:r>
      <w:r>
        <w:rPr>
          <w:rFonts w:hint="eastAsia" w:ascii="宋体" w:hAnsi="宋体" w:cs="宋体"/>
          <w:bCs/>
          <w:color w:val="000000"/>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w:t>
      </w:r>
      <w:r>
        <w:rPr>
          <w:rFonts w:ascii="宋体" w:hAnsi="宋体" w:cs="宋体"/>
          <w:bCs/>
          <w:color w:val="000000"/>
          <w:sz w:val="24"/>
          <w:szCs w:val="24"/>
          <w:highlight w:val="none"/>
        </w:rPr>
        <w:t>前一估值日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连续</w:t>
      </w:r>
      <w:r>
        <w:rPr>
          <w:rFonts w:ascii="宋体" w:hAnsi="宋体" w:cs="宋体"/>
          <w:bCs/>
          <w:color w:val="000000"/>
          <w:sz w:val="24"/>
          <w:szCs w:val="24"/>
          <w:highlight w:val="none"/>
        </w:rPr>
        <w:t>2</w:t>
      </w:r>
      <w:r>
        <w:rPr>
          <w:rFonts w:hint="eastAsia" w:ascii="宋体" w:hAnsi="宋体" w:cs="宋体"/>
          <w:bCs/>
          <w:color w:val="000000"/>
          <w:sz w:val="24"/>
          <w:szCs w:val="24"/>
          <w:highlight w:val="none"/>
        </w:rPr>
        <w:t>日</w:t>
      </w:r>
      <w:r>
        <w:rPr>
          <w:rFonts w:ascii="宋体" w:hAnsi="宋体" w:cs="宋体"/>
          <w:bCs/>
          <w:color w:val="000000"/>
          <w:sz w:val="24"/>
          <w:szCs w:val="24"/>
          <w:highlight w:val="none"/>
        </w:rPr>
        <w:t>（含）以上开放日发生巨额赎回的</w:t>
      </w:r>
      <w:r>
        <w:rPr>
          <w:rFonts w:hint="eastAsia" w:ascii="宋体" w:hAnsi="宋体" w:cs="宋体"/>
          <w:bCs/>
          <w:color w:val="000000"/>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当前</w:t>
      </w:r>
      <w:r>
        <w:rPr>
          <w:rFonts w:ascii="宋体" w:hAnsi="宋体" w:cs="宋体"/>
          <w:bCs/>
          <w:color w:val="000000"/>
          <w:sz w:val="24"/>
          <w:szCs w:val="24"/>
          <w:highlight w:val="none"/>
        </w:rPr>
        <w:t>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szCs w:val="24"/>
          <w:highlight w:val="none"/>
        </w:rPr>
        <w:t>正常到期清算：本理财计划终止后，管理人将按照清算后的资产净值按持有份额比例对投资者进行分配，并通过销售机构最快〖1〗个〖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color w:val="000000"/>
          <w:kern w:val="0"/>
          <w:sz w:val="24"/>
          <w:szCs w:val="24"/>
          <w:highlight w:val="none"/>
        </w:rPr>
      </w:pPr>
      <w:r>
        <w:rPr>
          <w:rFonts w:hint="eastAsia" w:ascii="宋体" w:hAnsi="宋体" w:eastAsia="宋体" w:cs="宋体"/>
          <w:color w:val="000000"/>
          <w:kern w:val="2"/>
          <w:sz w:val="24"/>
          <w:szCs w:val="24"/>
          <w:lang w:val="en-US" w:eastAsia="zh-CN" w:bidi="ar"/>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szCs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预计理财计划所投资的信托计划、资管计划等的受托人或管理人不能按时向管理人划付理财计划的本金和收益。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59E74B3"/>
    <w:multiLevelType w:val="singleLevel"/>
    <w:tmpl w:val="859E74B3"/>
    <w:lvl w:ilvl="0" w:tentative="0">
      <w:start w:val="1"/>
      <w:numFmt w:val="decimal"/>
      <w:suff w:val="nothing"/>
      <w:lvlText w:val="（%1）"/>
      <w:lvlJc w:val="left"/>
      <w:rPr>
        <w:color w:val="00000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4">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20">
    <w:nsid w:val="C93773F8"/>
    <w:multiLevelType w:val="singleLevel"/>
    <w:tmpl w:val="C93773F8"/>
    <w:lvl w:ilvl="0" w:tentative="0">
      <w:start w:val="1"/>
      <w:numFmt w:val="decimal"/>
      <w:suff w:val="nothing"/>
      <w:lvlText w:val="（%1）"/>
      <w:lvlJc w:val="left"/>
      <w:rPr>
        <w:color w:val="000000"/>
      </w:rPr>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6">
    <w:nsid w:val="DE51CBE6"/>
    <w:multiLevelType w:val="singleLevel"/>
    <w:tmpl w:val="DE51CBE6"/>
    <w:lvl w:ilvl="0" w:tentative="0">
      <w:start w:val="1"/>
      <w:numFmt w:val="decimal"/>
      <w:suff w:val="nothing"/>
      <w:lvlText w:val="（%1）"/>
      <w:lvlJc w:val="left"/>
      <w:rPr>
        <w:color w:val="000000"/>
      </w:rPr>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color w:val="000000"/>
      </w:rPr>
    </w:lvl>
  </w:abstractNum>
  <w:abstractNum w:abstractNumId="28">
    <w:nsid w:val="E70DF796"/>
    <w:multiLevelType w:val="singleLevel"/>
    <w:tmpl w:val="E70DF796"/>
    <w:lvl w:ilvl="0" w:tentative="0">
      <w:start w:val="1"/>
      <w:numFmt w:val="decimal"/>
      <w:suff w:val="nothing"/>
      <w:lvlText w:val="（%1）"/>
      <w:lvlJc w:val="left"/>
      <w:rPr>
        <w:color w:val="000000"/>
      </w:rPr>
    </w:lvl>
  </w:abstractNum>
  <w:abstractNum w:abstractNumId="29">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tentative="0">
      <w:start w:val="1"/>
      <w:numFmt w:val="decimal"/>
      <w:suff w:val="nothing"/>
      <w:lvlText w:val="（%1）"/>
      <w:lvlJc w:val="left"/>
      <w:rPr>
        <w:color w:val="000000"/>
      </w:rPr>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2">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3">
    <w:nsid w:val="5BA91325"/>
    <w:multiLevelType w:val="singleLevel"/>
    <w:tmpl w:val="5BA91325"/>
    <w:lvl w:ilvl="0" w:tentative="0">
      <w:start w:val="1"/>
      <w:numFmt w:val="decimal"/>
      <w:suff w:val="nothing"/>
      <w:lvlText w:val="（%1）"/>
      <w:lvlJc w:val="left"/>
      <w:rPr>
        <w:color w:val="000000"/>
      </w:rPr>
    </w:lvl>
  </w:abstractNum>
  <w:abstractNum w:abstractNumId="54">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29F70F7"/>
    <w:rsid w:val="23D7DA24"/>
    <w:rsid w:val="24885625"/>
    <w:rsid w:val="24A063EA"/>
    <w:rsid w:val="24C8157C"/>
    <w:rsid w:val="255170B3"/>
    <w:rsid w:val="25BD3406"/>
    <w:rsid w:val="260415D7"/>
    <w:rsid w:val="26896537"/>
    <w:rsid w:val="27DB5649"/>
    <w:rsid w:val="27FB5323"/>
    <w:rsid w:val="284E53B8"/>
    <w:rsid w:val="28F73A05"/>
    <w:rsid w:val="29E223F6"/>
    <w:rsid w:val="2A146F0C"/>
    <w:rsid w:val="2A7A79DE"/>
    <w:rsid w:val="2B5C1F0C"/>
    <w:rsid w:val="2BD054E2"/>
    <w:rsid w:val="2E4F5B7A"/>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1FF525"/>
    <w:rsid w:val="3B1C12F3"/>
    <w:rsid w:val="3B7F74DF"/>
    <w:rsid w:val="3BD53B5C"/>
    <w:rsid w:val="3C253FC9"/>
    <w:rsid w:val="3CC57F13"/>
    <w:rsid w:val="3D4C282D"/>
    <w:rsid w:val="3D970F4E"/>
    <w:rsid w:val="3DE106C6"/>
    <w:rsid w:val="3E540971"/>
    <w:rsid w:val="3E786275"/>
    <w:rsid w:val="3E931F0D"/>
    <w:rsid w:val="3F7E2660"/>
    <w:rsid w:val="3F7F862F"/>
    <w:rsid w:val="3FA31FDD"/>
    <w:rsid w:val="3FBD7815"/>
    <w:rsid w:val="3FFA261A"/>
    <w:rsid w:val="40A430BB"/>
    <w:rsid w:val="40E135DA"/>
    <w:rsid w:val="40FB25F3"/>
    <w:rsid w:val="41F528C8"/>
    <w:rsid w:val="427C1487"/>
    <w:rsid w:val="42FA026B"/>
    <w:rsid w:val="43C800C0"/>
    <w:rsid w:val="444440BE"/>
    <w:rsid w:val="44AC49CD"/>
    <w:rsid w:val="44B91F56"/>
    <w:rsid w:val="46184F00"/>
    <w:rsid w:val="466719F8"/>
    <w:rsid w:val="466F6F60"/>
    <w:rsid w:val="46A726DE"/>
    <w:rsid w:val="471F4546"/>
    <w:rsid w:val="4745701D"/>
    <w:rsid w:val="47AC6180"/>
    <w:rsid w:val="48BF1281"/>
    <w:rsid w:val="4B2F6DF6"/>
    <w:rsid w:val="4CC51C60"/>
    <w:rsid w:val="4CC6279D"/>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FD8EA8"/>
    <w:rsid w:val="5F04726A"/>
    <w:rsid w:val="5F6D37D2"/>
    <w:rsid w:val="5F9C081D"/>
    <w:rsid w:val="5F9D8D66"/>
    <w:rsid w:val="5FBD1139"/>
    <w:rsid w:val="5FFE5CF2"/>
    <w:rsid w:val="606677EA"/>
    <w:rsid w:val="60F34C3C"/>
    <w:rsid w:val="617668BD"/>
    <w:rsid w:val="61D01645"/>
    <w:rsid w:val="61D37DF9"/>
    <w:rsid w:val="63723353"/>
    <w:rsid w:val="64164D78"/>
    <w:rsid w:val="64993141"/>
    <w:rsid w:val="659F27EB"/>
    <w:rsid w:val="659F600E"/>
    <w:rsid w:val="670B831C"/>
    <w:rsid w:val="67CE6661"/>
    <w:rsid w:val="680A5A06"/>
    <w:rsid w:val="68B9403E"/>
    <w:rsid w:val="68D511B9"/>
    <w:rsid w:val="68FA6041"/>
    <w:rsid w:val="69827CEE"/>
    <w:rsid w:val="69971486"/>
    <w:rsid w:val="6BDE71F2"/>
    <w:rsid w:val="6C9577EB"/>
    <w:rsid w:val="6CBA3A99"/>
    <w:rsid w:val="6D3A1203"/>
    <w:rsid w:val="6DFF1F5A"/>
    <w:rsid w:val="6E9C369D"/>
    <w:rsid w:val="6EF41B11"/>
    <w:rsid w:val="6F527944"/>
    <w:rsid w:val="6F7FD338"/>
    <w:rsid w:val="6FF1C320"/>
    <w:rsid w:val="702573F3"/>
    <w:rsid w:val="70B57531"/>
    <w:rsid w:val="70FA499F"/>
    <w:rsid w:val="730C182D"/>
    <w:rsid w:val="73FC9A3F"/>
    <w:rsid w:val="751974A1"/>
    <w:rsid w:val="758B30E4"/>
    <w:rsid w:val="75F42331"/>
    <w:rsid w:val="761F7C3C"/>
    <w:rsid w:val="76683D2A"/>
    <w:rsid w:val="76C62D9E"/>
    <w:rsid w:val="76EDDC0D"/>
    <w:rsid w:val="76FFEDD7"/>
    <w:rsid w:val="77CE2F69"/>
    <w:rsid w:val="77F748F0"/>
    <w:rsid w:val="77FF016E"/>
    <w:rsid w:val="77FF3CA2"/>
    <w:rsid w:val="78244617"/>
    <w:rsid w:val="7A78757B"/>
    <w:rsid w:val="7A923507"/>
    <w:rsid w:val="7ACB640D"/>
    <w:rsid w:val="7BAFC4E9"/>
    <w:rsid w:val="7BFF1A29"/>
    <w:rsid w:val="7C044D89"/>
    <w:rsid w:val="7C5B8E26"/>
    <w:rsid w:val="7C63442B"/>
    <w:rsid w:val="7D3AA22F"/>
    <w:rsid w:val="7DB73DEB"/>
    <w:rsid w:val="7DE35ECA"/>
    <w:rsid w:val="7DF6638E"/>
    <w:rsid w:val="7DFF4E2E"/>
    <w:rsid w:val="7E1A0C5A"/>
    <w:rsid w:val="7E3212D3"/>
    <w:rsid w:val="7EDFBC61"/>
    <w:rsid w:val="7F5F887D"/>
    <w:rsid w:val="7F79ACB5"/>
    <w:rsid w:val="7FCC7D05"/>
    <w:rsid w:val="7FEF42B8"/>
    <w:rsid w:val="8EEDA87E"/>
    <w:rsid w:val="8FFF2394"/>
    <w:rsid w:val="9FD01BC3"/>
    <w:rsid w:val="ABFEA52F"/>
    <w:rsid w:val="AEBA6F54"/>
    <w:rsid w:val="B3FE25BF"/>
    <w:rsid w:val="B6E7A6F9"/>
    <w:rsid w:val="B7EFCE79"/>
    <w:rsid w:val="BE6E0F8F"/>
    <w:rsid w:val="BEF7DD85"/>
    <w:rsid w:val="BFF09472"/>
    <w:rsid w:val="C679D4D5"/>
    <w:rsid w:val="D3FFF2E3"/>
    <w:rsid w:val="D4B948F0"/>
    <w:rsid w:val="D7BE90C3"/>
    <w:rsid w:val="DE7F8D62"/>
    <w:rsid w:val="DEDDF1F2"/>
    <w:rsid w:val="DFFF61C4"/>
    <w:rsid w:val="EAE6DD5D"/>
    <w:rsid w:val="ECFFAA4E"/>
    <w:rsid w:val="F1C67B4E"/>
    <w:rsid w:val="F3F331A4"/>
    <w:rsid w:val="F3FF81F7"/>
    <w:rsid w:val="F56B6B0C"/>
    <w:rsid w:val="F6EBBD49"/>
    <w:rsid w:val="F7FE62B6"/>
    <w:rsid w:val="F7FFBCB9"/>
    <w:rsid w:val="F92A7ED9"/>
    <w:rsid w:val="F9EDDA97"/>
    <w:rsid w:val="FA543BA3"/>
    <w:rsid w:val="FB2ED8E3"/>
    <w:rsid w:val="FD7F9463"/>
    <w:rsid w:val="FDBA1D5F"/>
    <w:rsid w:val="FE59F34B"/>
    <w:rsid w:val="FEAED78B"/>
    <w:rsid w:val="FF77E35D"/>
    <w:rsid w:val="FFD8C220"/>
    <w:rsid w:val="FFDB2BA5"/>
    <w:rsid w:val="FFF7BA2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_0"/>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40345</Words>
  <Characters>42638</Characters>
  <Lines>1</Lines>
  <Paragraphs>1</Paragraphs>
  <TotalTime>1</TotalTime>
  <ScaleCrop>false</ScaleCrop>
  <LinksUpToDate>false</LinksUpToDate>
  <CharactersWithSpaces>42995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2014-11-09T04:08:00Z</dcterms:created>
  <dc:creator>Administrator</dc:creator>
  <cp:lastModifiedBy>hccb</cp:lastModifiedBy>
  <dcterms:modified xsi:type="dcterms:W3CDTF">2026-07-20T07:36:31Z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6247D3018D40ED832D834F6A9D8790E5_43</vt:lpwstr>
  </property>
  <property fmtid="{D5CDD505-2E9C-101B-9397-08002B2CF9AE}" pid="3" name="KSOProductBuildVer">
    <vt:lpwstr>2052-11.8.2.8411</vt:lpwstr>
  </property>
</Properties>
</file>