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幸福99添益（灵动）180天持有期1期理财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keepNext w:val="0"/>
        <w:keepLines w:val="0"/>
        <w:widowControl w:val="0"/>
        <w:numPr>
          <w:ilvl w:val="0"/>
          <w:numId w:val="4"/>
        </w:numPr>
        <w:suppressLineNumbers w:val="0"/>
        <w:spacing w:before="0" w:beforeAutospacing="0" w:after="0" w:afterAutospacing="0" w:line="360" w:lineRule="auto"/>
        <w:ind w:left="0" w:right="0"/>
        <w:jc w:val="both"/>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w:t>
      </w:r>
      <w:r>
        <w:rPr>
          <w:rFonts w:hint="eastAsia" w:ascii="宋体" w:hAnsi="宋体" w:eastAsia="宋体" w:cs="宋体"/>
          <w:b/>
          <w:bCs/>
          <w:color w:val="000000"/>
          <w:kern w:val="2"/>
          <w:sz w:val="24"/>
          <w:szCs w:val="24"/>
          <w:lang w:val="en-US" w:eastAsia="zh-CN" w:bidi="ar"/>
        </w:rPr>
        <w:t>认/申购</w:t>
      </w:r>
      <w:r>
        <w:rPr>
          <w:rFonts w:hint="eastAsia" w:ascii="宋体" w:hAnsi="宋体" w:cs="宋体"/>
          <w:b/>
          <w:color w:val="000000"/>
          <w:sz w:val="24"/>
          <w:highlight w:val="none"/>
        </w:rPr>
        <w:t>理财计划的资金由销售机构从投资者资金账户扣收；理财计划到期</w:t>
      </w:r>
      <w:r>
        <w:rPr>
          <w:rFonts w:hint="eastAsia" w:ascii="宋体" w:hAnsi="宋体" w:eastAsia="宋体" w:cs="宋体"/>
          <w:b/>
          <w:bCs/>
          <w:color w:val="000000"/>
          <w:kern w:val="2"/>
          <w:sz w:val="24"/>
          <w:szCs w:val="24"/>
          <w:lang w:val="en-US" w:eastAsia="zh-CN" w:bidi="ar"/>
        </w:rPr>
        <w:t>/赎回</w:t>
      </w:r>
      <w:r>
        <w:rPr>
          <w:rFonts w:hint="eastAsia" w:ascii="宋体" w:hAnsi="宋体" w:cs="宋体"/>
          <w:b/>
          <w:color w:val="000000"/>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资金流动性风险：本理财计划认购/申购份额确认后，投资者需持有份额一定期限后才能申请赎回，期间不得提前赎回。</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收益不达业绩比较基准风险：本理财产品的投资收益与投资者的申 购、赎回时点密切相关，市场波动或导致投资者的本金出现损失。</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股票市场风险：股票市场价格会受到货币政策、财政政策、产业政策、资金宽松程度及投资者情绪等各方面因素影响，而这些直接决定理财计划的投资收益。二级市场股票存在因停牌等原因而无法变现的风险，同时投资管理人不能保证在二级市场卖出股票的价格为最优价格，也不能保证卖出价格不低于投资成本价格。如所投资的为境外上市的股票，由于外汇管制，存在该投资产品的卖出变现资金不能汇回国内的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黄金市场风险：黄金市场价格会受到国内外通胀预期、货币政策调整与实施、地缘政治风险、国际市场供需关系等各方面因素影响。黄金市场波动或导致部分投资收益出现损失。</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境外投资特别风险：产品拟投资市场包括境外证券交易市场，因此可能受到各国或地区宏观经济运行情况、货币政策、财政政策、产业政策、税法、汇率、交易规则、结算、托管及其他运作风险等多种因素的影响，使得资产的流动性及回报情况受到一定影响。</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选择资管产品的风险：本理财计划通过定性与定量相结合的方式，针对所选公募基金等资管产品及管理人的历史业绩及多种因素进行研究分析，精选符合理财计划收益风险特征的资管产品或管理人，但并不能保证所选资管产品或管理人的未来业绩表现，存在实际运作过程中收益表现不及预期的情况，导致本理财计划本金或收益蒙受部分或全部损失的风险。</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eastAsia="宋体" w:cs="宋体"/>
          <w:b/>
          <w:bCs/>
          <w:kern w:val="2"/>
          <w:sz w:val="24"/>
          <w:szCs w:val="24"/>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根据适当性管理原则，将理财投资人分为专业投资者和普通投资者。其中专业投资者应符合下列条件之一：</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银行业金融机构、保险业</w:t>
      </w:r>
      <w:r>
        <w:rPr>
          <w:rFonts w:hint="eastAsia" w:ascii="宋体" w:hAnsi="宋体" w:eastAsia="宋体" w:cs="宋体"/>
          <w:i w:val="0"/>
          <w:iCs w:val="0"/>
          <w:caps w:val="0"/>
          <w:color w:val="000000"/>
          <w:spacing w:val="0"/>
          <w:kern w:val="2"/>
          <w:sz w:val="24"/>
          <w:szCs w:val="24"/>
          <w:shd w:val="clear" w:color="auto" w:fill="FFFFFF"/>
          <w:lang w:val="en-US" w:eastAsia="zh-CN" w:bidi="ar"/>
        </w:rPr>
        <w:t>金融机构、金融控股公司、证券基金期货经营机构、私募基金管理人；</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i w:val="0"/>
          <w:iCs w:val="0"/>
          <w:caps w:val="0"/>
          <w:color w:val="000000"/>
          <w:spacing w:val="0"/>
          <w:kern w:val="2"/>
          <w:sz w:val="24"/>
          <w:szCs w:val="24"/>
          <w:shd w:val="clear" w:color="auto" w:fill="FFFFFF"/>
          <w:lang w:val="en-US" w:eastAsia="zh-CN" w:bidi="ar"/>
        </w:rPr>
        <w:t>上述机构面向投资者发行的金融产品，信托公司管理的资产服务信托、公益慈善信托；</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社会</w:t>
      </w:r>
      <w:r>
        <w:rPr>
          <w:rFonts w:hint="eastAsia" w:ascii="宋体" w:hAnsi="宋体" w:eastAsia="宋体" w:cs="宋体"/>
          <w:i w:val="0"/>
          <w:iCs w:val="0"/>
          <w:caps w:val="0"/>
          <w:color w:val="000000"/>
          <w:spacing w:val="0"/>
          <w:kern w:val="2"/>
          <w:sz w:val="24"/>
          <w:szCs w:val="24"/>
          <w:shd w:val="clear" w:color="auto" w:fill="FFFFFF"/>
          <w:lang w:val="en-US" w:eastAsia="zh-CN" w:bidi="ar"/>
        </w:rPr>
        <w:t>保障基金、企业年金、职业年金等养老基金，慈善基金等社会公益基金，合格境外机构投资者（QFII）、人民币合格境外机构投资者（RQFII）。</w:t>
      </w:r>
    </w:p>
    <w:p>
      <w:pPr>
        <w:keepNext w:val="0"/>
        <w:keepLines w:val="0"/>
        <w:widowControl w:val="0"/>
        <w:suppressLineNumbers w:val="0"/>
        <w:spacing w:before="0" w:beforeAutospacing="0" w:after="0" w:afterAutospacing="0" w:line="360" w:lineRule="auto"/>
        <w:ind w:left="0" w:right="0" w:firstLine="240" w:firstLineChars="100"/>
        <w:jc w:val="left"/>
        <w:rPr>
          <w:rFonts w:hint="eastAsia" w:ascii="宋体" w:hAnsi="宋体" w:cs="宋体"/>
          <w:bCs/>
          <w:sz w:val="24"/>
          <w:highlight w:val="none"/>
        </w:rPr>
      </w:pPr>
      <w:r>
        <w:rPr>
          <w:rFonts w:hint="eastAsia" w:ascii="宋体" w:hAnsi="宋体" w:eastAsia="宋体" w:cs="宋体"/>
          <w:color w:val="000000"/>
          <w:kern w:val="2"/>
          <w:sz w:val="24"/>
          <w:szCs w:val="24"/>
          <w:lang w:val="en-US" w:eastAsia="zh-CN" w:bidi="ar"/>
        </w:rPr>
        <w:t xml:space="preserve">  专业投资者之外的投资者为普通投资者。</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000000"/>
          <w:highlight w:val="none"/>
        </w:rPr>
        <w:br w:type="page"/>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u w:val="single"/>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u w:val="single"/>
        </w:rPr>
      </w:pPr>
      <w:r>
        <w:rPr>
          <w:rFonts w:hint="eastAsia" w:ascii="宋体" w:hAnsi="宋体" w:eastAsia="宋体" w:cs="宋体"/>
          <w:b/>
          <w:bCs/>
          <w:color w:val="000000"/>
          <w:kern w:val="0"/>
          <w:sz w:val="24"/>
          <w:szCs w:val="24"/>
          <w:u w:val="single"/>
          <w:lang w:val="en-US" w:eastAsia="zh-CN" w:bidi="ar"/>
        </w:rPr>
        <w:t>本人/机构购买本理财计划的资金为合法自有资金，不存在使用借款、贷款等非自有资金的情形；且系为合法目的投资本理财计划，而非为洗钱等违法违规之目的，本人/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360" w:firstLineChars="150"/>
        <w:jc w:val="both"/>
        <w:rPr>
          <w:rFonts w:hint="eastAsia" w:ascii="宋体" w:hAnsi="宋体" w:eastAsia="宋体" w:cs="宋体"/>
          <w:b/>
          <w:bCs/>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 xml:space="preserve">“本人/机构已经阅读上述风险揭示，愿意承担投资风险。”如通过线上渠道购买，认/申购交易确认即知晓并同意自身风险承受能力等级并确认风险揭示内容，愿意承担投资风险，与书面签署具有同等效力。）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u w:val="single"/>
        </w:rPr>
      </w:pPr>
      <w:r>
        <w:rPr>
          <w:rFonts w:hint="eastAsia" w:ascii="宋体" w:hAnsi="宋体" w:eastAsia="宋体" w:cs="宋体"/>
          <w:color w:val="000000"/>
          <w:kern w:val="0"/>
          <w:sz w:val="24"/>
          <w:szCs w:val="24"/>
          <w:lang w:val="en-US" w:eastAsia="zh-CN" w:bidi="ar"/>
        </w:rPr>
        <w:t>本人/机构同时确认如下：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color w:val="000000"/>
          <w:kern w:val="0"/>
          <w:sz w:val="24"/>
          <w:szCs w:val="24"/>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keepNext w:val="0"/>
        <w:keepLines w:val="0"/>
        <w:widowControl w:val="0"/>
        <w:suppressLineNumbers w:val="0"/>
        <w:spacing w:before="0" w:beforeAutospacing="0" w:after="0" w:afterAutospacing="0" w:line="360" w:lineRule="auto"/>
        <w:ind w:left="0" w:right="0" w:firstLine="5280" w:firstLineChars="2200"/>
        <w:jc w:val="center"/>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center"/>
        <w:rPr>
          <w:rFonts w:hint="eastAsia" w:ascii="宋体" w:hAnsi="宋体" w:eastAsia="宋体" w:cs="宋体"/>
          <w:b/>
          <w:bCs/>
          <w:sz w:val="24"/>
          <w:szCs w:val="24"/>
        </w:rPr>
      </w:pPr>
      <w:r>
        <w:rPr>
          <w:rFonts w:hint="eastAsia" w:ascii="宋体" w:hAnsi="宋体" w:eastAsia="宋体" w:cs="宋体"/>
          <w:color w:val="000000"/>
          <w:kern w:val="0"/>
          <w:sz w:val="24"/>
          <w:szCs w:val="24"/>
          <w:lang w:val="en-US" w:eastAsia="zh-CN" w:bidi="ar"/>
        </w:rPr>
        <w:t xml:space="preserve">                                        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EFFC29C"/>
    <w:multiLevelType w:val="multilevel"/>
    <w:tmpl w:val="BEFFC29C"/>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CDF69806"/>
    <w:multiLevelType w:val="multilevel"/>
    <w:tmpl w:val="CDF69806"/>
    <w:lvl w:ilvl="0" w:tentative="0">
      <w:start w:val="1"/>
      <w:numFmt w:val="decimal"/>
      <w:suff w:val="space"/>
      <w:lvlText w:val="%1."/>
      <w:lvlJc w:val="left"/>
      <w:pPr>
        <w:ind w:left="0" w:firstLine="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5">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6">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6"/>
  </w:num>
  <w:num w:numId="4">
    <w:abstractNumId w:val="5"/>
  </w:num>
  <w:num w:numId="5">
    <w:abstractNumId w:val="2"/>
  </w:num>
  <w:num w:numId="6">
    <w:abstractNumId w:val="7"/>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76F6F8A"/>
    <w:rsid w:val="089F06F0"/>
    <w:rsid w:val="08EC59C1"/>
    <w:rsid w:val="09012D55"/>
    <w:rsid w:val="093A6D15"/>
    <w:rsid w:val="09C724A3"/>
    <w:rsid w:val="09C80899"/>
    <w:rsid w:val="0A057859"/>
    <w:rsid w:val="0B4A184A"/>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6D3DCE"/>
    <w:rsid w:val="1F962D64"/>
    <w:rsid w:val="213B4CFA"/>
    <w:rsid w:val="21527232"/>
    <w:rsid w:val="21575C30"/>
    <w:rsid w:val="21B70797"/>
    <w:rsid w:val="21F67436"/>
    <w:rsid w:val="220D70EF"/>
    <w:rsid w:val="24885625"/>
    <w:rsid w:val="24A063EA"/>
    <w:rsid w:val="24C8157C"/>
    <w:rsid w:val="255170B3"/>
    <w:rsid w:val="25BD3406"/>
    <w:rsid w:val="260415D7"/>
    <w:rsid w:val="26896537"/>
    <w:rsid w:val="26B35F71"/>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12B96"/>
    <w:rsid w:val="351A5D92"/>
    <w:rsid w:val="35AA025C"/>
    <w:rsid w:val="35CA7D73"/>
    <w:rsid w:val="377307FA"/>
    <w:rsid w:val="3B1C12F3"/>
    <w:rsid w:val="3BD53B5C"/>
    <w:rsid w:val="3CC57F13"/>
    <w:rsid w:val="3D4C282D"/>
    <w:rsid w:val="3D970F4E"/>
    <w:rsid w:val="3DE106C6"/>
    <w:rsid w:val="3E540971"/>
    <w:rsid w:val="3E7508FE"/>
    <w:rsid w:val="3E786275"/>
    <w:rsid w:val="3E931F0D"/>
    <w:rsid w:val="3F7E2660"/>
    <w:rsid w:val="3FA31FDD"/>
    <w:rsid w:val="3FF6D16A"/>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30714"/>
    <w:rsid w:val="4C7EB6B0"/>
    <w:rsid w:val="4CC51C60"/>
    <w:rsid w:val="4D3204EA"/>
    <w:rsid w:val="4D697EB1"/>
    <w:rsid w:val="4DDF8641"/>
    <w:rsid w:val="4DFF95C2"/>
    <w:rsid w:val="4E08799D"/>
    <w:rsid w:val="4E2B414A"/>
    <w:rsid w:val="4F5679CC"/>
    <w:rsid w:val="501840BA"/>
    <w:rsid w:val="52B042C0"/>
    <w:rsid w:val="535DD037"/>
    <w:rsid w:val="53827B5D"/>
    <w:rsid w:val="53E86B53"/>
    <w:rsid w:val="54D66C67"/>
    <w:rsid w:val="5593D271"/>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EB7BF92"/>
    <w:rsid w:val="5F04726A"/>
    <w:rsid w:val="5F6D37D2"/>
    <w:rsid w:val="5F9C081D"/>
    <w:rsid w:val="606677EA"/>
    <w:rsid w:val="60F34C3C"/>
    <w:rsid w:val="617668BD"/>
    <w:rsid w:val="61D01645"/>
    <w:rsid w:val="63723353"/>
    <w:rsid w:val="64164D78"/>
    <w:rsid w:val="64993141"/>
    <w:rsid w:val="659F27EB"/>
    <w:rsid w:val="659F600E"/>
    <w:rsid w:val="65BF1737"/>
    <w:rsid w:val="67CE6661"/>
    <w:rsid w:val="680A5A06"/>
    <w:rsid w:val="68B9403E"/>
    <w:rsid w:val="68D511B9"/>
    <w:rsid w:val="68FA6041"/>
    <w:rsid w:val="69827CEE"/>
    <w:rsid w:val="6BDE71F2"/>
    <w:rsid w:val="6C9577EB"/>
    <w:rsid w:val="6CBA3A99"/>
    <w:rsid w:val="6D3A1203"/>
    <w:rsid w:val="6DAF8001"/>
    <w:rsid w:val="6E9C369D"/>
    <w:rsid w:val="6EF41B11"/>
    <w:rsid w:val="6F5F424F"/>
    <w:rsid w:val="6FFDCC13"/>
    <w:rsid w:val="6FFF49C1"/>
    <w:rsid w:val="702573F3"/>
    <w:rsid w:val="70B57531"/>
    <w:rsid w:val="70FA499F"/>
    <w:rsid w:val="730C182D"/>
    <w:rsid w:val="73FC9A3F"/>
    <w:rsid w:val="73FD8B13"/>
    <w:rsid w:val="751974A1"/>
    <w:rsid w:val="758B30E4"/>
    <w:rsid w:val="75F42331"/>
    <w:rsid w:val="761F7C3C"/>
    <w:rsid w:val="76683D2A"/>
    <w:rsid w:val="76C62D9E"/>
    <w:rsid w:val="77CF66E4"/>
    <w:rsid w:val="77FB6ED3"/>
    <w:rsid w:val="78244617"/>
    <w:rsid w:val="7A923507"/>
    <w:rsid w:val="7ACB640D"/>
    <w:rsid w:val="7B6A58A7"/>
    <w:rsid w:val="7BFF1A29"/>
    <w:rsid w:val="7C044D89"/>
    <w:rsid w:val="7C63442B"/>
    <w:rsid w:val="7CDB2DB5"/>
    <w:rsid w:val="7CFF9610"/>
    <w:rsid w:val="7D3AA22F"/>
    <w:rsid w:val="7D47E241"/>
    <w:rsid w:val="7D57B5BA"/>
    <w:rsid w:val="7DE35ECA"/>
    <w:rsid w:val="7E1A0C5A"/>
    <w:rsid w:val="7E3212D3"/>
    <w:rsid w:val="7F5936D0"/>
    <w:rsid w:val="7F5ED40B"/>
    <w:rsid w:val="7F5F887D"/>
    <w:rsid w:val="7F8D7071"/>
    <w:rsid w:val="7FCC7D05"/>
    <w:rsid w:val="7FEF42B8"/>
    <w:rsid w:val="7FEFCADF"/>
    <w:rsid w:val="7FFED134"/>
    <w:rsid w:val="7FFF8EDB"/>
    <w:rsid w:val="8FE62966"/>
    <w:rsid w:val="9BBF1AF8"/>
    <w:rsid w:val="9F1F0292"/>
    <w:rsid w:val="9F9F25DF"/>
    <w:rsid w:val="9FD01BC3"/>
    <w:rsid w:val="AB7FC9F2"/>
    <w:rsid w:val="ADFD0E4E"/>
    <w:rsid w:val="B3FE25BF"/>
    <w:rsid w:val="B97F0511"/>
    <w:rsid w:val="BBE04242"/>
    <w:rsid w:val="BDD3E890"/>
    <w:rsid w:val="BE6E0F8F"/>
    <w:rsid w:val="BFDFFDFD"/>
    <w:rsid w:val="BFEBE861"/>
    <w:rsid w:val="C679D4D5"/>
    <w:rsid w:val="CFFF8A5B"/>
    <w:rsid w:val="D3F75F2E"/>
    <w:rsid w:val="D3FFF2E3"/>
    <w:rsid w:val="D4B948F0"/>
    <w:rsid w:val="D55CE63F"/>
    <w:rsid w:val="D74B89BD"/>
    <w:rsid w:val="D7BE90C3"/>
    <w:rsid w:val="DBDFAA48"/>
    <w:rsid w:val="DFA7BB0D"/>
    <w:rsid w:val="E7BE8365"/>
    <w:rsid w:val="E9FF1448"/>
    <w:rsid w:val="EE0A5BC3"/>
    <w:rsid w:val="F06DB0AB"/>
    <w:rsid w:val="F2F53720"/>
    <w:rsid w:val="F3F331A4"/>
    <w:rsid w:val="F3FF81F7"/>
    <w:rsid w:val="F5350BB3"/>
    <w:rsid w:val="F577156D"/>
    <w:rsid w:val="F7F830A4"/>
    <w:rsid w:val="F7FE62B6"/>
    <w:rsid w:val="F7FFDCC3"/>
    <w:rsid w:val="F9B5CD4A"/>
    <w:rsid w:val="FA543BA3"/>
    <w:rsid w:val="FD7F9463"/>
    <w:rsid w:val="FE3FA669"/>
    <w:rsid w:val="FE7FAA21"/>
    <w:rsid w:val="FEAED78B"/>
    <w:rsid w:val="FEB53EE0"/>
    <w:rsid w:val="FF760428"/>
    <w:rsid w:val="FFEF0B34"/>
    <w:rsid w:val="FFEF47D7"/>
    <w:rsid w:val="FFF765AF"/>
    <w:rsid w:val="FFFD6BF4"/>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38760</Words>
  <Characters>40986</Characters>
  <Lines>1</Lines>
  <Paragraphs>1</Paragraphs>
  <TotalTime>0</TotalTime>
  <ScaleCrop>false</ScaleCrop>
  <LinksUpToDate>false</LinksUpToDate>
  <CharactersWithSpaces>41322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hccb</cp:lastModifiedBy>
  <dcterms:modified xsi:type="dcterms:W3CDTF">2026-07-21T07:35:57Z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BFC29919FAC82531CED25D6A528ACFF7_43</vt:lpwstr>
  </property>
  <property fmtid="{D5CDD505-2E9C-101B-9397-08002B2CF9AE}" pid="3" name="KSOProductBuildVer">
    <vt:lpwstr>2052-11.8.2.8411</vt:lpwstr>
  </property>
</Properties>
</file>