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color w:val="000000"/>
          <w:kern w:val="2"/>
          <w:sz w:val="44"/>
          <w:szCs w:val="44"/>
          <w:highlight w:val="none"/>
          <w:lang w:val="en-US" w:eastAsia="zh-CN" w:bidi="ar-SA"/>
        </w:rPr>
        <w:t>幸福99添益（灵动）180天持有期1期理财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Z7002226000049</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幸福99添益（灵动）180天持有期1期理财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幸福99添益（灵动）180天持有期1期理财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幸福99添益（灵动）180天持有期1期理财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幸福99添益（灵动）180天持有期1期理财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幸福99添益（灵动）180天持有期1期理财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幸福99添益（灵动）180天持有期1期理财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keepNext w:val="0"/>
        <w:keepLines w:val="0"/>
        <w:widowControl w:val="0"/>
        <w:numPr>
          <w:ilvl w:val="0"/>
          <w:numId w:val="7"/>
        </w:numPr>
        <w:suppressLineNumbers w:val="0"/>
        <w:adjustRightInd/>
        <w:spacing w:before="0" w:beforeAutospacing="0" w:after="0" w:afterAutospacing="0" w:line="360" w:lineRule="auto"/>
        <w:ind w:left="0" w:right="0" w:firstLine="422" w:firstLineChars="200"/>
        <w:jc w:val="both"/>
        <w:rPr>
          <w:rFonts w:hint="eastAsia" w:ascii="宋体" w:hAnsi="宋体" w:cs="宋体"/>
          <w:b/>
          <w:color w:val="auto"/>
          <w:kern w:val="2"/>
          <w:highlight w:val="none"/>
        </w:rPr>
      </w:pPr>
      <w:r>
        <w:rPr>
          <w:rFonts w:hint="eastAsia" w:ascii="宋体" w:hAnsi="宋体" w:cs="宋体"/>
          <w:b/>
          <w:color w:val="000000"/>
          <w:kern w:val="2"/>
          <w:highlight w:val="none"/>
          <w:lang w:eastAsia="zh-CN"/>
        </w:rPr>
        <w:t>持有期：</w:t>
      </w:r>
      <w:r>
        <w:rPr>
          <w:rFonts w:hint="eastAsia" w:ascii="宋体" w:hAnsi="宋体" w:cs="宋体"/>
          <w:b w:val="0"/>
          <w:bCs/>
          <w:color w:val="000000"/>
          <w:kern w:val="2"/>
          <w:highlight w:val="none"/>
          <w:lang w:eastAsia="zh-CN"/>
        </w:rPr>
        <w:t>指</w:t>
      </w:r>
      <w:r>
        <w:rPr>
          <w:rFonts w:hint="eastAsia" w:ascii="宋体" w:hAnsi="宋体" w:eastAsia="宋体" w:cs="宋体"/>
          <w:b w:val="0"/>
          <w:bCs w:val="0"/>
          <w:color w:val="000000"/>
          <w:kern w:val="2"/>
          <w:sz w:val="24"/>
          <w:szCs w:val="24"/>
          <w:lang w:val="en-US" w:eastAsia="zh-CN" w:bidi="ar"/>
        </w:rPr>
        <w:t>投资者认购或申购后，需</w:t>
      </w:r>
      <w:r>
        <w:rPr>
          <w:rFonts w:hint="eastAsia" w:ascii="宋体" w:hAnsi="宋体" w:eastAsia="宋体" w:cs="宋体"/>
          <w:color w:val="000000"/>
          <w:kern w:val="2"/>
          <w:sz w:val="24"/>
          <w:szCs w:val="24"/>
          <w:lang w:val="en-US" w:eastAsia="zh-CN" w:bidi="ar"/>
        </w:rPr>
        <w:t>持有固定期限后才可进行赎回。</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幸福99添益（灵动）180天持有期1期理财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添益（灵动）180天1期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TYGZC2609</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Z7002226000049</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w:t>
            </w:r>
            <w:bookmarkStart w:id="0" w:name="_GoBack"/>
            <w:r>
              <w:rPr>
                <w:rFonts w:ascii="宋体" w:hAnsi="宋体" w:eastAsia="宋体" w:cs="宋体"/>
                <w:b w:val="0"/>
                <w:i w:val="0"/>
                <w:caps w:val="0"/>
                <w:strike w:val="0"/>
                <w:dstrike w:val="0"/>
                <w:shadow w:val="0"/>
                <w:emboss w:val="0"/>
                <w:imprint w:val="0"/>
                <w:color w:val="000000"/>
                <w:kern w:val="2"/>
                <w:position w:val="-1"/>
                <w:sz w:val="21"/>
                <w:u w:val="none"/>
                <w:vertAlign w:val="baseline"/>
              </w:rPr>
              <w:t>TYGZC2609</w:t>
            </w:r>
            <w:bookmarkEnd w:id="0"/>
            <w:r>
              <w:rPr>
                <w:rFonts w:ascii="宋体" w:hAnsi="宋体" w:eastAsia="宋体" w:cs="宋体"/>
                <w:b w:val="0"/>
                <w:i w:val="0"/>
                <w:caps w:val="0"/>
                <w:strike w:val="0"/>
                <w:dstrike w:val="0"/>
                <w:shadow w:val="0"/>
                <w:emboss w:val="0"/>
                <w:imprint w:val="0"/>
                <w:color w:val="000000"/>
                <w:kern w:val="2"/>
                <w:position w:val="-1"/>
                <w:sz w:val="21"/>
                <w:u w:val="none"/>
                <w:vertAlign w:val="baseline"/>
              </w:rPr>
              <w:t>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C份额（销售代码〖TYGZC2609C〗）：普通个人投资者和机构客户。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〖2026〗年〖2〗月〖11〗日-〖2026〗年〖3〗月〖16〗日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〖A份额〗起点〖1〗元整，超过认购/申购起点部分，应为〖0.01〗元的整数倍。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〖100〗万元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lang w:val="en-US" w:eastAsia="zh-CN" w:bidi="ar"/>
              </w:rPr>
              <w:t>本理财计划的开放期为〖</w:t>
            </w:r>
            <w:r>
              <w:rPr>
                <w:rFonts w:hint="eastAsia" w:ascii="宋体" w:hAnsi="宋体" w:cs="宋体"/>
                <w:color w:val="000000"/>
                <w:kern w:val="2"/>
                <w:sz w:val="21"/>
                <w:szCs w:val="21"/>
                <w:lang w:val="en-US" w:eastAsia="zh-CN" w:bidi="ar"/>
              </w:rPr>
              <w:t>封闭期</w:t>
            </w:r>
            <w:r>
              <w:rPr>
                <w:rFonts w:hint="eastAsia" w:ascii="宋体" w:hAnsi="宋体" w:eastAsia="宋体" w:cs="宋体"/>
                <w:color w:val="000000"/>
                <w:kern w:val="2"/>
                <w:sz w:val="21"/>
                <w:szCs w:val="21"/>
                <w:lang w:val="en-US" w:eastAsia="zh-CN" w:bidi="ar"/>
              </w:rPr>
              <w:t>后</w:t>
            </w:r>
            <w:r>
              <w:rPr>
                <w:rFonts w:hint="eastAsia" w:ascii="宋体" w:hAnsi="宋体" w:cs="宋体"/>
                <w:color w:val="000000"/>
                <w:kern w:val="2"/>
                <w:sz w:val="21"/>
                <w:szCs w:val="21"/>
                <w:lang w:val="en-US" w:eastAsia="zh-CN" w:bidi="ar"/>
              </w:rPr>
              <w:t>的</w:t>
            </w:r>
            <w:r>
              <w:rPr>
                <w:rFonts w:hint="eastAsia" w:ascii="宋体" w:hAnsi="宋体" w:eastAsia="宋体" w:cs="宋体"/>
                <w:color w:val="000000"/>
                <w:kern w:val="2"/>
                <w:sz w:val="21"/>
                <w:szCs w:val="21"/>
                <w:lang w:val="en-US" w:eastAsia="zh-CN" w:bidi="ar"/>
              </w:rPr>
              <w:t>每个</w:t>
            </w:r>
            <w:r>
              <w:rPr>
                <w:rFonts w:hint="eastAsia" w:ascii="宋体" w:hAnsi="宋体" w:cs="宋体"/>
                <w:color w:val="000000"/>
                <w:kern w:val="2"/>
                <w:sz w:val="21"/>
                <w:szCs w:val="21"/>
                <w:lang w:val="en-US" w:eastAsia="zh-CN" w:bidi="ar"/>
              </w:rPr>
              <w:t>交易</w:t>
            </w:r>
            <w:r>
              <w:rPr>
                <w:rFonts w:hint="eastAsia" w:ascii="宋体" w:hAnsi="宋体" w:eastAsia="宋体" w:cs="宋体"/>
                <w:color w:val="000000"/>
                <w:kern w:val="2"/>
                <w:sz w:val="21"/>
                <w:szCs w:val="21"/>
                <w:lang w:val="en-US" w:eastAsia="zh-CN" w:bidi="ar"/>
              </w:rPr>
              <w:t>日〗。如遇开放确认日为非〖交易日〗，则顺延至〖</w:t>
            </w:r>
            <w:r>
              <w:rPr>
                <w:rFonts w:hint="eastAsia" w:ascii="宋体" w:hAnsi="宋体" w:cs="宋体"/>
                <w:color w:val="000000"/>
                <w:kern w:val="2"/>
                <w:sz w:val="21"/>
                <w:szCs w:val="21"/>
                <w:lang w:val="en-US" w:eastAsia="zh-CN" w:bidi="ar"/>
              </w:rPr>
              <w:t>下一</w:t>
            </w:r>
            <w:r>
              <w:rPr>
                <w:rFonts w:hint="eastAsia" w:ascii="宋体" w:hAnsi="宋体" w:eastAsia="宋体" w:cs="宋体"/>
                <w:color w:val="000000"/>
                <w:kern w:val="2"/>
                <w:sz w:val="21"/>
                <w:szCs w:val="21"/>
                <w:lang w:val="en-US" w:eastAsia="zh-CN" w:bidi="ar"/>
              </w:rPr>
              <w:t>交易日〗。如遇特殊情况，则以管理人公告为准。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leftChars="0" w:right="0" w:firstLine="0" w:firstLineChars="0"/>
              <w:contextualSpacing/>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持有期</w:t>
            </w:r>
          </w:p>
        </w:tc>
        <w:tc>
          <w:tcPr>
            <w:tcW w:w="7185" w:type="dxa"/>
            <w:noWrap w:val="0"/>
            <w:vAlign w:val="center"/>
          </w:tcPr>
          <w:p>
            <w:pPr>
              <w:keepNext w:val="0"/>
              <w:keepLines w:val="0"/>
              <w:widowControl w:val="0"/>
              <w:suppressLineNumbers w:val="0"/>
              <w:spacing w:before="0" w:beforeAutospacing="0" w:after="0" w:afterAutospacing="0" w:line="360" w:lineRule="auto"/>
              <w:ind w:left="0" w:leftChars="0" w:right="0" w:firstLine="0" w:firstLineChars="0"/>
              <w:contextualSpacing/>
              <w:jc w:val="both"/>
              <w:rPr>
                <w:rFonts w:hint="eastAsia" w:ascii="宋体" w:hAnsi="宋体" w:cs="宋体"/>
                <w:bCs/>
                <w:color w:val="auto"/>
                <w:sz w:val="21"/>
                <w:szCs w:val="21"/>
                <w:highlight w:val="none"/>
                <w:lang w:val="en-US" w:eastAsia="zh-CN"/>
              </w:rPr>
            </w:pPr>
            <w:r>
              <w:rPr>
                <w:rFonts w:hint="eastAsia" w:ascii="宋体" w:hAnsi="宋体" w:eastAsia="宋体" w:cs="宋体"/>
                <w:color w:val="000000"/>
                <w:kern w:val="2"/>
                <w:sz w:val="21"/>
                <w:szCs w:val="21"/>
                <w:lang w:val="en-US" w:eastAsia="zh-CN" w:bidi="ar"/>
              </w:rPr>
              <w:t>本理财计划的持有期为〖180〗天，投资者认购/申购份额确认成功后，每一笔份额需自理财计划成立日（含）/确认日（含）起最低持有满〖180〗天后方可按规则申请赎回。如投资者多次购买理财计划，其中持有〖180〗天及以上的份额，可申请赎回；持有〖180〗天以内的份额，不可申请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1.本理财计划在每个开放期的开放日工作时间均可进行申购，申购申请将在确认日，即</w:t>
            </w:r>
            <w:r>
              <w:rPr>
                <w:rFonts w:hint="eastAsia" w:ascii="宋体" w:hAnsi="宋体" w:cs="宋体"/>
                <w:color w:val="000000"/>
                <w:sz w:val="21"/>
                <w:szCs w:val="21"/>
                <w:highlight w:val="none"/>
                <w:lang w:eastAsia="zh-CN"/>
              </w:rPr>
              <w:t>申购申请日</w:t>
            </w:r>
            <w:r>
              <w:rPr>
                <w:rFonts w:hint="eastAsia" w:ascii="宋体" w:hAnsi="宋体" w:cs="宋体"/>
                <w:color w:val="000000"/>
                <w:sz w:val="21"/>
                <w:szCs w:val="21"/>
                <w:highlight w:val="none"/>
              </w:rPr>
              <w:t>后的第〖1〗个〖</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lang w:eastAsia="zh-CN"/>
              </w:rPr>
              <w:t>2.满足最低持有期后，本理财计划在每个开放期的开放日工作时间均可进行赎回，赎回申请将在确认日，即赎回申请日后的第</w:t>
            </w:r>
            <w:r>
              <w:rPr>
                <w:rFonts w:hint="eastAsia" w:ascii="宋体" w:hAnsi="宋体" w:eastAsia="宋体" w:cs="宋体"/>
                <w:color w:val="000000"/>
                <w:kern w:val="2"/>
                <w:sz w:val="21"/>
                <w:szCs w:val="21"/>
                <w:lang w:val="en-US" w:eastAsia="zh-CN" w:bidi="ar"/>
              </w:rPr>
              <w:t>〖1〗个〖交易日〗进行确认。确认日如遇非〖交易日〗，则顺延至〖下一交易日〗。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eastAsia="zh-CN"/>
              </w:rPr>
              <w:t>3</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4.在</w:t>
            </w:r>
            <w:r>
              <w:rPr>
                <w:rFonts w:hint="eastAsia" w:ascii="宋体" w:hAnsi="宋体" w:eastAsia="宋体" w:cs="宋体"/>
                <w:color w:val="000000"/>
                <w:kern w:val="2"/>
                <w:sz w:val="21"/>
                <w:szCs w:val="21"/>
                <w:lang w:val="en-US" w:eastAsia="zh-CN" w:bidi="ar"/>
              </w:rPr>
              <w:t>〖交易日〗的〖17:00〗之前提交的申购和赎回申请，申请日为提出申请当日；在〖交易日〗的〖17:00〗之后提交的申购和赎回申请，申请日为提出申请日的〖下一交易日〗。</w:t>
            </w:r>
          </w:p>
          <w:p>
            <w:pPr>
              <w:keepNext w:val="0"/>
              <w:keepLines w:val="0"/>
              <w:widowControl/>
              <w:suppressLineNumbers w:val="0"/>
              <w:spacing w:before="0" w:beforeAutospacing="0" w:after="0" w:afterAutospacing="0" w:line="360" w:lineRule="auto"/>
              <w:ind w:left="0" w:right="0"/>
              <w:contextualSpacing/>
              <w:jc w:val="both"/>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5.募集期/开放期内提交的交易申请，在理财计划成立日/确认日前一日下午</w:t>
            </w:r>
            <w:r>
              <w:rPr>
                <w:rFonts w:hint="eastAsia" w:ascii="宋体" w:hAnsi="宋体" w:eastAsia="宋体" w:cs="宋体"/>
                <w:color w:val="000000"/>
                <w:kern w:val="2"/>
                <w:sz w:val="21"/>
                <w:szCs w:val="21"/>
                <w:lang w:val="en-US" w:eastAsia="zh-CN" w:bidi="ar"/>
              </w:rPr>
              <w:t>〖17:00〗</w:t>
            </w:r>
            <w:r>
              <w:rPr>
                <w:rFonts w:hint="eastAsia" w:ascii="宋体" w:hAnsi="宋体" w:eastAsia="宋体" w:cs="宋体"/>
                <w:color w:val="000000"/>
                <w:kern w:val="0"/>
                <w:sz w:val="21"/>
                <w:szCs w:val="21"/>
                <w:lang w:val="en-US" w:eastAsia="zh-CN" w:bidi="ar"/>
              </w:rPr>
              <w:t>之前可以撤单。（具体以销售机构规定为准）</w:t>
            </w:r>
          </w:p>
          <w:p>
            <w:pPr>
              <w:keepNext w:val="0"/>
              <w:keepLines w:val="0"/>
              <w:widowControl w:val="0"/>
              <w:suppressLineNumbers w:val="0"/>
              <w:spacing w:before="0" w:beforeAutospacing="0" w:after="0" w:afterAutospacing="0"/>
              <w:ind w:left="0" w:right="0"/>
              <w:jc w:val="both"/>
              <w:rPr>
                <w:rFonts w:hint="default" w:ascii="宋体" w:hAnsi="宋体" w:cs="宋体"/>
                <w:bCs/>
                <w:color w:val="auto"/>
                <w:sz w:val="21"/>
                <w:szCs w:val="21"/>
                <w:highlight w:val="none"/>
                <w:lang w:val="en-US" w:eastAsia="zh-CN"/>
              </w:rPr>
            </w:pPr>
            <w:r>
              <w:rPr>
                <w:rFonts w:hint="eastAsia" w:ascii="宋体" w:hAnsi="宋体" w:eastAsia="宋体" w:cs="宋体"/>
                <w:color w:val="000000"/>
                <w:kern w:val="2"/>
                <w:sz w:val="21"/>
                <w:szCs w:val="21"/>
                <w:lang w:val="en-US" w:eastAsia="zh-CN" w:bidi="ar"/>
              </w:rPr>
              <w:t>6.上述交易安排如有调整，请以管理人公告为准。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FF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FF0000"/>
                <w:kern w:val="2"/>
                <w:sz w:val="21"/>
                <w:szCs w:val="21"/>
                <w:highlight w:val="none"/>
                <w:lang w:val="en-US" w:eastAsia="zh-CN" w:bidi="ar-SA"/>
              </w:rPr>
            </w:pPr>
            <w:r>
              <w:rPr>
                <w:rFonts w:hint="eastAsia" w:ascii="宋体" w:hAnsi="宋体" w:cs="宋体"/>
                <w:color w:val="000000"/>
                <w:sz w:val="21"/>
                <w:szCs w:val="21"/>
                <w:highlight w:val="none"/>
                <w:lang w:val="en-US" w:eastAsia="zh-CN"/>
              </w:rPr>
              <w:t>1.</w:t>
            </w:r>
            <w:r>
              <w:rPr>
                <w:rFonts w:hint="eastAsia" w:ascii="宋体" w:hAnsi="宋体" w:eastAsia="宋体" w:cs="宋体"/>
                <w:color w:val="000000"/>
                <w:kern w:val="2"/>
                <w:sz w:val="21"/>
                <w:szCs w:val="21"/>
                <w:lang w:val="en-US" w:eastAsia="zh-CN" w:bidi="ar"/>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r>
              <w:rPr>
                <w:rFonts w:hint="eastAsia" w:ascii="宋体" w:hAnsi="宋体" w:cs="宋体"/>
                <w:bCs/>
                <w:color w:val="000000"/>
                <w:sz w:val="21"/>
                <w:szCs w:val="21"/>
                <w:highlight w:val="none"/>
                <w:lang w:eastAsia="zh-CN"/>
              </w:rPr>
              <w:t>-浮动管理费（如有）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理财计划总份额，单位净值〖保留小数点后</w:t>
            </w:r>
            <w:r>
              <w:rPr>
                <w:rFonts w:hint="eastAsia" w:ascii="宋体" w:hAnsi="宋体" w:cs="宋体"/>
                <w:color w:val="000000"/>
                <w:sz w:val="21"/>
                <w:szCs w:val="21"/>
                <w:highlight w:val="none"/>
                <w:lang w:eastAsia="zh-CN"/>
              </w:rPr>
              <w:t>四</w:t>
            </w:r>
            <w:r>
              <w:rPr>
                <w:rFonts w:hint="eastAsia" w:ascii="宋体" w:hAnsi="宋体" w:cs="宋体"/>
                <w:color w:val="000000"/>
                <w:sz w:val="21"/>
                <w:szCs w:val="21"/>
                <w:highlight w:val="none"/>
              </w:rPr>
              <w:t>位〗</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CN" w:bidi="ar-SA"/>
              </w:rPr>
              <w:t>四</w:t>
            </w:r>
            <w:r>
              <w:rPr>
                <w:rFonts w:hint="eastAsia" w:ascii="宋体" w:hAnsi="宋体" w:cs="宋体"/>
                <w:color w:val="000000"/>
                <w:sz w:val="21"/>
                <w:szCs w:val="21"/>
                <w:highlight w:val="none"/>
                <w:lang w:eastAsia="zh-CN"/>
              </w:rPr>
              <w:t>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color w:val="000000"/>
                <w:sz w:val="21"/>
                <w:szCs w:val="21"/>
                <w:highlight w:val="none"/>
                <w:lang w:eastAsia="zh-CN"/>
              </w:rPr>
              <w:t>于</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确认日后〖2〗个〖交易日〗内</w:t>
            </w:r>
            <w:r>
              <w:rPr>
                <w:rFonts w:hint="eastAsia" w:ascii="宋体" w:hAnsi="宋体" w:cs="宋体"/>
                <w:color w:val="000000"/>
                <w:sz w:val="21"/>
                <w:szCs w:val="21"/>
                <w:highlight w:val="none"/>
              </w:rPr>
              <w:t>（遇节假日顺延）支付。如遇资金在途或法定工作日调整，实际资金到账日以公告为准。（具体以销售机构规定为准）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w:t>
            </w:r>
            <w:r>
              <w:rPr>
                <w:rFonts w:hint="eastAsia" w:ascii="宋体" w:hAnsi="宋体" w:cs="宋体"/>
                <w:color w:val="000000"/>
                <w:sz w:val="21"/>
                <w:szCs w:val="21"/>
                <w:highlight w:val="none"/>
                <w:lang w:val="en-US" w:eastAsia="zh-CN"/>
              </w:rPr>
              <w:t>最快</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个</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，最晚</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个</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交易日</w:t>
            </w:r>
            <w:r>
              <w:rPr>
                <w:rFonts w:hint="eastAsia" w:ascii="宋体" w:hAnsi="宋体" w:cs="宋体"/>
                <w:color w:val="000000"/>
                <w:sz w:val="21"/>
                <w:szCs w:val="21"/>
                <w:highlight w:val="none"/>
              </w:rPr>
              <w:t>〗（遇节假日顺延）支付。如遇资金在途或法定工作日调整，实际资金到账日以公告为准。（具体以销售机构规定为准）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本理财计划〖A份额〗业绩比较基准为〖中债-总指数(1-3年)财富指数×97%+沪深300×2%+黄金×1%〗（年化）。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本理财计划〖C份额〗业绩比较基准为〖中债-总指数(1-3年)财富指数×97%+沪深300×2%+黄金×1%〗（年化）。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highlight w:val="none"/>
                <w:lang w:val="en-US" w:eastAsia="zh-CN" w:bidi="ar-SA"/>
              </w:rPr>
              <w:t>本理财计划主要投资于固定收益类资产、权益类资产及其他类资产，权益类及其他类资产配置比例不超过5%。业绩比较基准根据理财计划投资策略、市场环境及综合费率等因素得出，可较为客观地衡量主动管理水平。</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〖C份额〗收取年化〖0.30%〗的销售服务费。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〖A份额〗收取年化〖0.40%〗的固定管理费, 〖C份额〗收取年化〖0.40%〗的固定管理费。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管理人根据理财计划投资情况计算浮动管理费，本理财计划份额投资周期的折合年化收益率超过该份额〖3.5%〗的部分，管理人提取〖40%〗作为浮动管理费。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本理财计划自成立日起〖3个月〗为建仓期，管理人应当在建仓期结束前使各项投资比例符合约定。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keepNext w:val="0"/>
        <w:keepLines w:val="0"/>
        <w:widowControl w:val="0"/>
        <w:numPr>
          <w:ilvl w:val="0"/>
          <w:numId w:val="13"/>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固定收益类资产：包括但不限于存款、货币市场金融工具、质押式买断式回购等高流动性资产以及各类债券、债券型基金、其他符合监管要求的固定收益类资产及资产管理产品。</w:t>
      </w:r>
    </w:p>
    <w:p>
      <w:pPr>
        <w:keepNext w:val="0"/>
        <w:keepLines w:val="0"/>
        <w:widowControl w:val="0"/>
        <w:numPr>
          <w:ilvl w:val="0"/>
          <w:numId w:val="13"/>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权益类资产：包括国内发行上市的股票型基金、混合型基金、优先股、上市公司股票以及其他符合监管要求的权益类资产及资产管理产品（不包括未上市企业股权）。</w:t>
      </w:r>
    </w:p>
    <w:p>
      <w:pPr>
        <w:keepNext w:val="0"/>
        <w:keepLines w:val="0"/>
        <w:widowControl w:val="0"/>
        <w:numPr>
          <w:ilvl w:val="0"/>
          <w:numId w:val="13"/>
        </w:numPr>
        <w:suppressLineNumbers w:val="0"/>
        <w:spacing w:before="0" w:beforeAutospacing="0" w:after="0" w:afterAutospacing="0" w:line="360" w:lineRule="auto"/>
        <w:ind w:left="0" w:right="0" w:firstLine="480" w:firstLineChars="200"/>
        <w:jc w:val="left"/>
        <w:rPr>
          <w:rFonts w:hint="eastAsia" w:ascii="宋体" w:hAnsi="宋体" w:cs="宋体"/>
          <w:bCs/>
          <w:sz w:val="24"/>
          <w:highlight w:val="none"/>
        </w:rPr>
      </w:pPr>
      <w:r>
        <w:rPr>
          <w:rFonts w:hint="eastAsia" w:ascii="宋体" w:hAnsi="宋体" w:eastAsia="宋体" w:cs="宋体"/>
          <w:color w:val="000000"/>
          <w:kern w:val="2"/>
          <w:sz w:val="24"/>
          <w:szCs w:val="24"/>
          <w:lang w:val="en-US" w:eastAsia="zh-CN" w:bidi="ar"/>
        </w:rPr>
        <w:t>其他类资产：包括其他符合监管要求的资产及资产管理产品。</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95%-100%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权益类及其他类资产</w:t>
            </w:r>
          </w:p>
        </w:tc>
        <w:tc>
          <w:tcPr>
            <w:tcW w:w="2000" w:type="dxa"/>
            <w:vAlign w:val="center"/>
          </w:tcPr>
          <w:p>
            <w:pPr>
              <w:jc w:val="center"/>
              <w:textAlignment w:val="center"/>
            </w:pPr>
            <w:r>
              <w:rPr>
                <w:rFonts w:ascii="宋体" w:hAnsi="宋体" w:eastAsia="宋体" w:cs="宋体"/>
              </w:rPr>
              <w:t>0%-5%</w:t>
            </w:r>
          </w:p>
        </w:tc>
      </w:tr>
    </w:tbl>
    <w:p>
      <w:pPr>
        <w:pStyle w:val="20"/>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4"/>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pStyle w:val="9"/>
        <w:keepNext w:val="0"/>
        <w:keepLines w:val="0"/>
        <w:widowControl w:val="0"/>
        <w:numPr>
          <w:ilvl w:val="0"/>
          <w:numId w:val="15"/>
        </w:numPr>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以风险平价模型为基础，基于周期判断和相对性价比，从股、债、商品相对波动率角度，分配大类资产权重，确定资产配置的基础方案，降低波动率上行的资产的比例，从而实现资产组合在不同市场环境下，均能获得较高的风险调整收益的投资目标。</w:t>
      </w:r>
    </w:p>
    <w:p>
      <w:pPr>
        <w:keepNext w:val="0"/>
        <w:keepLines w:val="0"/>
        <w:widowControl w:val="0"/>
        <w:numPr>
          <w:ilvl w:val="0"/>
          <w:numId w:val="16"/>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固定收益类资产投资策略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通过利率-信用轮动框架进行投资。持续跟踪各项基本面和量价指标，结合市场流动性、风险偏好等因子对债券的久期、品种和仓位进行灵活调整，以获取超额收益。</w:t>
      </w:r>
    </w:p>
    <w:p>
      <w:pPr>
        <w:keepNext w:val="0"/>
        <w:keepLines w:val="0"/>
        <w:widowControl w:val="0"/>
        <w:numPr>
          <w:ilvl w:val="0"/>
          <w:numId w:val="16"/>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权益类及其他类资产投资策略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sz w:val="24"/>
          <w:highlight w:val="none"/>
        </w:rPr>
      </w:pPr>
      <w:r>
        <w:rPr>
          <w:rFonts w:hint="eastAsia" w:ascii="宋体" w:hAnsi="宋体" w:eastAsia="宋体" w:cs="宋体"/>
          <w:color w:val="000000"/>
          <w:kern w:val="2"/>
          <w:sz w:val="24"/>
          <w:szCs w:val="24"/>
          <w:lang w:val="en-US" w:eastAsia="zh-CN" w:bidi="ar"/>
        </w:rPr>
        <w:t>以风险预算策略给出的权益及其他类资产仓位为基础，结合基本面研究、量价研究，对权益及其他资产的比例和标的进行选择。权益及其他类资产投资范围主要包括中国及海外市场指数ETF、黄金ETF等。</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2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2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a、c</w:t>
      </w:r>
      <w:r>
        <w:rPr>
          <w:rFonts w:hint="eastAsia" w:ascii="宋体" w:hAnsi="宋体" w:cs="宋体"/>
          <w:bCs/>
          <w:color w:val="000000"/>
          <w:sz w:val="24"/>
          <w:highlight w:val="none"/>
        </w:rPr>
        <w:t>】</w:t>
      </w:r>
    </w:p>
    <w:p>
      <w:pPr>
        <w:numPr>
          <w:ilvl w:val="0"/>
          <w:numId w:val="21"/>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1"/>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20"/>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3"/>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泰安银行股份有限公司</w:t>
            </w:r>
          </w:p>
        </w:tc>
        <w:tc>
          <w:tcPr>
            <w:tcW w:w="1200" w:type="dxa"/>
            <w:vAlign w:val="center"/>
          </w:tcPr>
          <w:p>
            <w:pPr>
              <w:jc w:val="left"/>
            </w:pPr>
            <w:r>
              <w:t>住所</w:t>
            </w:r>
          </w:p>
        </w:tc>
        <w:tc>
          <w:tcPr>
            <w:tcW w:w="3800" w:type="dxa"/>
            <w:vAlign w:val="center"/>
          </w:tcPr>
          <w:p>
            <w:pPr>
              <w:jc w:val="center"/>
            </w:pPr>
            <w:r>
              <w:t>山东省泰安市长城路3号圣地大厦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0538-96588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福建海峡银行股份有限公司</w:t>
            </w:r>
          </w:p>
        </w:tc>
        <w:tc>
          <w:tcPr>
            <w:tcW w:w="1200" w:type="dxa"/>
            <w:vAlign w:val="center"/>
          </w:tcPr>
          <w:p>
            <w:pPr>
              <w:jc w:val="left"/>
            </w:pPr>
            <w:r>
              <w:t>住所</w:t>
            </w:r>
          </w:p>
        </w:tc>
        <w:tc>
          <w:tcPr>
            <w:tcW w:w="3800" w:type="dxa"/>
            <w:vAlign w:val="center"/>
          </w:tcPr>
          <w:p>
            <w:pPr>
              <w:jc w:val="center"/>
            </w:pPr>
            <w: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4008939999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青海银行股份有限公司</w:t>
            </w:r>
          </w:p>
        </w:tc>
        <w:tc>
          <w:tcPr>
            <w:tcW w:w="1200" w:type="dxa"/>
            <w:vAlign w:val="center"/>
          </w:tcPr>
          <w:p>
            <w:pPr>
              <w:jc w:val="left"/>
            </w:pPr>
            <w:r>
              <w:t>住所</w:t>
            </w:r>
          </w:p>
        </w:tc>
        <w:tc>
          <w:tcPr>
            <w:tcW w:w="3800" w:type="dxa"/>
            <w:vAlign w:val="center"/>
          </w:tcPr>
          <w:p>
            <w:pPr>
              <w:jc w:val="center"/>
            </w:pPr>
            <w:r>
              <w:t>青海省西宁市城西区西关大街130号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96399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龙江银行股份有限公司</w:t>
            </w:r>
          </w:p>
        </w:tc>
        <w:tc>
          <w:tcPr>
            <w:tcW w:w="1200" w:type="dxa"/>
            <w:vAlign w:val="center"/>
          </w:tcPr>
          <w:p>
            <w:pPr>
              <w:jc w:val="left"/>
            </w:pPr>
            <w:r>
              <w:t>住所</w:t>
            </w:r>
          </w:p>
        </w:tc>
        <w:tc>
          <w:tcPr>
            <w:tcW w:w="3800" w:type="dxa"/>
            <w:vAlign w:val="center"/>
          </w:tcPr>
          <w:p>
            <w:pPr>
              <w:jc w:val="center"/>
            </w:pPr>
            <w:r>
              <w:t>黑龙江省哈尔滨市道里区友谊路436号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400-645-8888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8"/>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3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1"/>
          <w:highlight w:val="none"/>
          <w:lang w:val="en-US" w:eastAsia="zh-CN" w:bidi="ar-SA"/>
        </w:rPr>
        <w:t>0.025</w:t>
      </w:r>
      <w:r>
        <w:rPr>
          <w:rFonts w:hint="eastAsia" w:ascii="宋体" w:hAnsi="宋体" w:cs="宋体"/>
          <w:bCs/>
          <w:color w:val="000000"/>
          <w:sz w:val="24"/>
          <w:highlight w:val="none"/>
        </w:rPr>
        <w:t>%</w:t>
      </w:r>
      <w:r>
        <w:rPr>
          <w:rFonts w:hint="eastAsia" w:ascii="宋体" w:hAnsi="宋体" w:cs="宋体"/>
          <w:color w:val="000000"/>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托管费原则上按日计提。</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理财计划财产的年化固定管理费率为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0.40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0.40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固定</w:t>
      </w:r>
      <w:r>
        <w:rPr>
          <w:rFonts w:hint="eastAsia" w:ascii="宋体" w:hAnsi="宋体" w:cs="宋体"/>
          <w:bCs/>
          <w:color w:val="000000"/>
          <w:sz w:val="24"/>
          <w:szCs w:val="24"/>
          <w:highlight w:val="none"/>
        </w:rPr>
        <w:t>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szCs w:val="24"/>
          <w:highlight w:val="none"/>
        </w:rPr>
        <w:t>固定管理费原则上按日计提</w:t>
      </w:r>
      <w:r>
        <w:rPr>
          <w:rFonts w:hint="eastAsia" w:ascii="宋体" w:hAnsi="宋体" w:cs="宋体"/>
          <w:bCs/>
          <w:color w:val="000000"/>
          <w:sz w:val="24"/>
          <w:szCs w:val="24"/>
          <w:highlight w:val="none"/>
          <w:lang w:eastAsia="zh-CN"/>
        </w:rPr>
        <w:t>，管理人有权</w:t>
      </w:r>
      <w:r>
        <w:rPr>
          <w:rFonts w:hint="eastAsia" w:ascii="宋体" w:hAnsi="宋体" w:cs="宋体"/>
          <w:bCs/>
          <w:color w:val="000000"/>
          <w:sz w:val="24"/>
          <w:szCs w:val="24"/>
          <w:highlight w:val="none"/>
          <w:lang w:val="en-US" w:eastAsia="zh-CN"/>
        </w:rPr>
        <w:t>根据实际运作情况</w:t>
      </w:r>
      <w:r>
        <w:rPr>
          <w:rFonts w:hint="eastAsia" w:ascii="宋体" w:hAnsi="宋体" w:cs="宋体"/>
          <w:bCs/>
          <w:color w:val="000000"/>
          <w:sz w:val="24"/>
          <w:szCs w:val="24"/>
          <w:highlight w:val="none"/>
          <w:lang w:eastAsia="zh-CN"/>
        </w:rPr>
        <w:t>减免固定管理费。</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3"/>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理财管理人根据理财计划投资情况计算浮动管理费，本理财计划〖A</w:t>
      </w:r>
      <w:r>
        <w:rPr>
          <w:rFonts w:hint="eastAsia" w:ascii="宋体" w:hAnsi="宋体" w:cs="宋体"/>
          <w:color w:val="000000"/>
          <w:kern w:val="2"/>
          <w:sz w:val="24"/>
          <w:szCs w:val="24"/>
          <w:lang w:val="en-US" w:eastAsia="zh-CN" w:bidi="ar"/>
        </w:rPr>
        <w:t>份额</w:t>
      </w:r>
      <w:r>
        <w:rPr>
          <w:rFonts w:hint="eastAsia" w:ascii="宋体" w:hAnsi="宋体" w:eastAsia="宋体" w:cs="宋体"/>
          <w:color w:val="000000"/>
          <w:kern w:val="2"/>
          <w:sz w:val="24"/>
          <w:szCs w:val="24"/>
          <w:lang w:val="en-US" w:eastAsia="zh-CN" w:bidi="ar"/>
        </w:rPr>
        <w:t>〗投资者赎回份额或持有至理财计划到期对应的持有区间的〖折合年化收益率超过3.5</w:t>
      </w:r>
      <w:r>
        <w:rPr>
          <w:rFonts w:hint="eastAsia" w:ascii="宋体" w:hAnsi="宋体" w:cs="宋体"/>
          <w:color w:val="000000"/>
          <w:kern w:val="2"/>
          <w:sz w:val="24"/>
          <w:szCs w:val="24"/>
          <w:lang w:val="en-US" w:eastAsia="zh-CN" w:bidi="ar"/>
        </w:rPr>
        <w:t>%</w:t>
      </w:r>
      <w:r>
        <w:rPr>
          <w:rFonts w:hint="eastAsia" w:ascii="宋体" w:hAnsi="宋体" w:eastAsia="宋体" w:cs="宋体"/>
          <w:color w:val="000000"/>
          <w:kern w:val="2"/>
          <w:sz w:val="24"/>
          <w:szCs w:val="24"/>
          <w:lang w:val="en-US" w:eastAsia="zh-CN" w:bidi="ar"/>
        </w:rPr>
        <w:t>〗的部分管理人提取〖40</w:t>
      </w:r>
      <w:r>
        <w:rPr>
          <w:rFonts w:hint="eastAsia" w:ascii="宋体" w:hAnsi="宋体" w:cs="宋体"/>
          <w:color w:val="000000"/>
          <w:kern w:val="2"/>
          <w:sz w:val="24"/>
          <w:szCs w:val="24"/>
          <w:lang w:val="en-US" w:eastAsia="zh-CN" w:bidi="ar"/>
        </w:rPr>
        <w:t>%</w:t>
      </w:r>
      <w:r>
        <w:rPr>
          <w:rFonts w:hint="eastAsia" w:ascii="宋体" w:hAnsi="宋体" w:eastAsia="宋体" w:cs="宋体"/>
          <w:color w:val="000000"/>
          <w:kern w:val="2"/>
          <w:sz w:val="24"/>
          <w:szCs w:val="24"/>
          <w:lang w:val="en-US" w:eastAsia="zh-CN" w:bidi="ar"/>
        </w:rPr>
        <w:t>〗作为浮动管理费，份额赎回或理财计划到期后收取。若持有区间的折合年化收益率若小于或等于〖3.5</w:t>
      </w:r>
      <w:r>
        <w:rPr>
          <w:rFonts w:hint="eastAsia" w:ascii="宋体" w:hAnsi="宋体" w:cs="宋体"/>
          <w:color w:val="000000"/>
          <w:kern w:val="2"/>
          <w:sz w:val="24"/>
          <w:szCs w:val="24"/>
          <w:lang w:val="en-US" w:eastAsia="zh-CN" w:bidi="ar"/>
        </w:rPr>
        <w:t>%</w:t>
      </w:r>
      <w:r>
        <w:rPr>
          <w:rFonts w:hint="eastAsia" w:ascii="宋体" w:hAnsi="宋体" w:eastAsia="宋体" w:cs="宋体"/>
          <w:color w:val="000000"/>
          <w:kern w:val="2"/>
          <w:sz w:val="24"/>
          <w:szCs w:val="24"/>
          <w:lang w:val="en-US" w:eastAsia="zh-CN" w:bidi="ar"/>
        </w:rPr>
        <w:t>〗则不收取浮动管理费。以〖A份额〗为例，具体计算方法如下：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H＝E×NAV0×(K-R)×〖40</w:t>
      </w:r>
      <w:r>
        <w:rPr>
          <w:rFonts w:hint="eastAsia" w:ascii="宋体" w:hAnsi="宋体" w:cs="宋体"/>
          <w:color w:val="000000"/>
          <w:kern w:val="2"/>
          <w:sz w:val="24"/>
          <w:szCs w:val="24"/>
          <w:lang w:val="en-US" w:eastAsia="zh-CN" w:bidi="ar"/>
        </w:rPr>
        <w:t>%</w:t>
      </w:r>
      <w:r>
        <w:rPr>
          <w:rFonts w:hint="eastAsia" w:ascii="宋体" w:hAnsi="宋体" w:eastAsia="宋体" w:cs="宋体"/>
          <w:color w:val="000000"/>
          <w:kern w:val="2"/>
          <w:sz w:val="24"/>
          <w:szCs w:val="24"/>
          <w:lang w:val="en-US" w:eastAsia="zh-CN" w:bidi="ar"/>
        </w:rPr>
        <w:t>〗×N÷365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H为赎回/理财计划到期确认日应收取浮动管理费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E为赎回/理财计划到期确认日的存续份额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K为收取浮动管理费前投资者赎回份额或持有至理财计划到期对应持有区间折合年化收益率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NAV0为投资者认/申购份额确认日前一日单位净值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NAV1为投资者赎回份额/理财计划到期确认日前一日单位净值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R为本次投资周期的浮动管理费计提基数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N为赎回份额对应的申购确认日（含）至赎回确认日（不含）的实际理财天数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T为赎回份额/理财计划到期对应的投资周期内每单位份额的实际分红金额的合计（如有）</w:t>
      </w:r>
    </w:p>
    <w:p>
      <w:pPr>
        <w:numPr>
          <w:ilvl w:val="0"/>
          <w:numId w:val="35"/>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8"/>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8"/>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r>
        <w:rPr>
          <w:rFonts w:hint="eastAsia" w:ascii="宋体" w:hAnsi="宋体" w:cs="宋体"/>
          <w:bCs/>
          <w:color w:val="000000"/>
          <w:sz w:val="24"/>
          <w:highlight w:val="none"/>
          <w:lang w:eastAsia="zh-CN"/>
        </w:rPr>
        <w:t>-浮动管理费（如有）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9"/>
        </w:numPr>
        <w:spacing w:line="360" w:lineRule="auto"/>
        <w:jc w:val="left"/>
        <w:outlineLvl w:val="2"/>
        <w:rPr>
          <w:rFonts w:hint="eastAsia" w:ascii="宋体" w:hAnsi="宋体" w:cs="宋体"/>
          <w:bCs/>
          <w:color w:val="000000"/>
          <w:kern w:val="2"/>
          <w:sz w:val="24"/>
          <w:szCs w:val="24"/>
          <w:highlight w:val="none"/>
          <w:lang w:val="en-US" w:eastAsia="zh-CN" w:bidi="ar-SA"/>
        </w:rPr>
      </w:pPr>
      <w:r>
        <w:rPr>
          <w:rFonts w:hint="eastAsia" w:ascii="宋体" w:hAnsi="宋体" w:cs="宋体"/>
          <w:b/>
          <w:color w:val="000000"/>
          <w:sz w:val="24"/>
          <w:highlight w:val="none"/>
        </w:rPr>
        <w:t>示例说明</w:t>
      </w:r>
    </w:p>
    <w:p>
      <w:pPr>
        <w:numPr>
          <w:ilvl w:val="0"/>
          <w:numId w:val="0"/>
        </w:numPr>
        <w:spacing w:line="360" w:lineRule="auto"/>
        <w:ind w:left="0" w:leftChars="0" w:firstLine="480" w:firstLineChars="20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40"/>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投资理财计划362天后，赎回份额100,000.00份。假设管理人提取超过5.00%的40%作为浮动管理费，即浮动管理费计提基数为5.00%。赎回时期间无分红，扣除托管费、固定管理费、销售服务费（如有）后，如理财计划净值为1.0615，此时，(1.0615÷1.0000-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100,000.00×1.0000×[(1.0615÷1.0000-1)×365÷362-5.00%]×40%×362÷365=476.44（元）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100,000.00×（1.0615-1.0000）-476.44 =5,673.56（元），理财计划赎回时，投资者获得的实际收益相当于达到年化收益率水平为：5,673.56÷100,000.00×365÷362=5.72%。</w:t>
      </w:r>
    </w:p>
    <w:p>
      <w:pPr>
        <w:keepNext w:val="0"/>
        <w:keepLines w:val="0"/>
        <w:widowControl w:val="0"/>
        <w:numPr>
          <w:ilvl w:val="0"/>
          <w:numId w:val="40"/>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投资理财计划362天后，赎回份额100,000.00份。假设管理人提取超过5.00%的40%作为浮动管理费，即浮动管理费计提基数为5.00%。赎回时期间无分红，扣除托管费、固定管理费、销售服务费（如有）后，如理财计划净值为1.0426，此时，(1.0426÷1.0000-1)×365÷362=4.30%&lt;5.00%，即投资收益未达到5.00%，则投资管理人不收取浮动管理费，投资者最终收益为：100,000.00×(1.0426-1.0000）=4,260.00（元）</w:t>
      </w:r>
    </w:p>
    <w:p>
      <w:pPr>
        <w:keepNext w:val="0"/>
        <w:keepLines w:val="0"/>
        <w:widowControl w:val="0"/>
        <w:numPr>
          <w:ilvl w:val="0"/>
          <w:numId w:val="40"/>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投资理财计划362天后，赎回份额100,000.00份。假设管理人提取超过5.00%的40%作为浮动管理费，即浮动管理费计提基数为5.00%。赎回时期间无分红，扣除托管费、固定管理费、销售服务费（如有）后，如理财计划净值为0.9975，则投资管理人不收取浮动管理费，投资者最终收益为：100,000.00×（0.9975-1.0000）=-250.00（元）。</w:t>
      </w:r>
    </w:p>
    <w:p>
      <w:pPr>
        <w:numPr>
          <w:ilvl w:val="0"/>
          <w:numId w:val="3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3"/>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3"/>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本理财计划在每个开放期的开放日工作时间可进行申购，申购申请将在</w:t>
      </w:r>
      <w:r>
        <w:rPr>
          <w:rFonts w:hint="eastAsia" w:ascii="宋体" w:hAnsi="宋体" w:cs="宋体"/>
          <w:bCs/>
          <w:color w:val="000000"/>
          <w:sz w:val="24"/>
          <w:highlight w:val="none"/>
          <w:lang w:eastAsia="zh-CN"/>
        </w:rPr>
        <w:t>申购</w:t>
      </w:r>
      <w:r>
        <w:rPr>
          <w:rFonts w:hint="eastAsia" w:ascii="宋体" w:hAnsi="宋体" w:cs="宋体"/>
          <w:bCs/>
          <w:color w:val="000000"/>
          <w:sz w:val="24"/>
          <w:highlight w:val="none"/>
        </w:rPr>
        <w:t>确认日进行确认，即</w:t>
      </w:r>
      <w:r>
        <w:rPr>
          <w:rFonts w:hint="eastAsia" w:ascii="宋体" w:hAnsi="宋体" w:cs="宋体"/>
          <w:bCs/>
          <w:color w:val="000000"/>
          <w:sz w:val="24"/>
          <w:highlight w:val="none"/>
          <w:lang w:eastAsia="zh-CN"/>
        </w:rPr>
        <w:t>申购</w:t>
      </w:r>
      <w:r>
        <w:rPr>
          <w:rFonts w:hint="eastAsia" w:ascii="宋体" w:hAnsi="宋体" w:cs="宋体"/>
          <w:bCs/>
          <w:color w:val="000000"/>
          <w:sz w:val="24"/>
          <w:highlight w:val="none"/>
        </w:rPr>
        <w:t>开放期后的第〖1〗个〖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〗进行确认。</w:t>
      </w:r>
    </w:p>
    <w:p>
      <w:pPr>
        <w:keepNext w:val="0"/>
        <w:keepLines w:val="0"/>
        <w:widowControl w:val="0"/>
        <w:numPr>
          <w:ilvl w:val="0"/>
          <w:numId w:val="45"/>
        </w:numPr>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cs="宋体"/>
          <w:bCs/>
          <w:color w:val="000000"/>
          <w:sz w:val="24"/>
          <w:highlight w:val="none"/>
          <w:lang w:eastAsia="zh-CN"/>
        </w:rPr>
        <w:t>满足</w:t>
      </w:r>
      <w:r>
        <w:rPr>
          <w:rFonts w:hint="eastAsia" w:ascii="宋体" w:hAnsi="宋体" w:eastAsia="宋体" w:cs="宋体"/>
          <w:color w:val="000000"/>
          <w:kern w:val="2"/>
          <w:sz w:val="24"/>
          <w:szCs w:val="24"/>
          <w:lang w:val="en-US" w:eastAsia="zh-CN" w:bidi="ar"/>
        </w:rPr>
        <w:t>最低持有期后，本理财计划在每个开放期的开放日工作时间可进行赎回，赎回申请将在赎回确认日进行确认，即赎回开放期后的第〖1〗个〖交易日〗进行确认。</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5"/>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cs="宋体"/>
          <w:bCs/>
          <w:color w:val="000000"/>
          <w:sz w:val="24"/>
          <w:highlight w:val="none"/>
          <w:lang w:eastAsia="zh-CN"/>
        </w:rPr>
        <w:t>于</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确认日后〖2〗个〖交易日〗内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9"/>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cs="宋体"/>
          <w:bCs/>
          <w:color w:val="000000"/>
          <w:sz w:val="24"/>
          <w:highlight w:val="none"/>
          <w:lang w:val="en-US" w:eastAsia="zh-CN"/>
        </w:rPr>
        <w:t>1</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个</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交易日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，最晚</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个</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交易日</w:t>
      </w:r>
      <w:r>
        <w:rPr>
          <w:rFonts w:hint="eastAsia" w:ascii="宋体" w:hAnsi="宋体" w:cs="宋体"/>
          <w:bCs/>
          <w:color w:val="000000"/>
          <w:sz w:val="24"/>
          <w:highlight w:val="none"/>
        </w:rPr>
        <w:t>〗（遇节假日顺延）内将资金按规定的要求划入投资者授权指定的理财账户。（具体以销售机构规定为准）</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0"/>
          <w:sz w:val="24"/>
          <w:szCs w:val="24"/>
          <w:lang w:val="en-US" w:eastAsia="zh-CN" w:bidi="ar"/>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5</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交易日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4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51"/>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3"/>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6"/>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6"/>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4"/>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default"/>
          <w:sz w:val="24"/>
          <w:highlight w:val="none"/>
          <w:lang w:val="en-US" w:eastAsia="zh-CN"/>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spacing w:line="360" w:lineRule="auto"/>
        <w:rPr>
          <w:rFonts w:ascii="宋体" w:hAnsi="宋体" w:cs="宋体"/>
          <w:bCs/>
          <w:color w:val="000000"/>
          <w:sz w:val="24"/>
        </w:rPr>
      </w:pP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color w:val="000000"/>
      </w:rPr>
    </w:lvl>
  </w:abstractNum>
  <w:abstractNum w:abstractNumId="1">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3">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9">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20">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4">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5">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6">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7">
    <w:nsid w:val="F574F5B6"/>
    <w:multiLevelType w:val="singleLevel"/>
    <w:tmpl w:val="F574F5B6"/>
    <w:lvl w:ilvl="0" w:tentative="0">
      <w:start w:val="1"/>
      <w:numFmt w:val="decimal"/>
      <w:suff w:val="nothing"/>
      <w:lvlText w:val="（%1）"/>
      <w:lvlJc w:val="left"/>
      <w:rPr>
        <w:color w:val="000000"/>
      </w:rPr>
    </w:lvl>
  </w:abstractNum>
  <w:abstractNum w:abstractNumId="28">
    <w:nsid w:val="F7D42B73"/>
    <w:multiLevelType w:val="multilevel"/>
    <w:tmpl w:val="F7D42B73"/>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30">
    <w:nsid w:val="FAF627DA"/>
    <w:multiLevelType w:val="multilevel"/>
    <w:tmpl w:val="FAF627DA"/>
    <w:lvl w:ilvl="0" w:tentative="0">
      <w:start w:val="1"/>
      <w:numFmt w:val="decimal"/>
      <w:suff w:val="nothing"/>
      <w:lvlText w:val="%1．"/>
      <w:lvlJc w:val="left"/>
      <w:pPr>
        <w:ind w:left="0" w:firstLine="40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2">
    <w:nsid w:val="FFF6C79C"/>
    <w:multiLevelType w:val="multilevel"/>
    <w:tmpl w:val="FFF6C79C"/>
    <w:lvl w:ilvl="0" w:tentative="0">
      <w:start w:val="2"/>
      <w:numFmt w:val="decimal"/>
      <w:suff w:val="nothing"/>
      <w:lvlText w:val="%1．"/>
      <w:lvlJc w:val="left"/>
      <w:pPr>
        <w:ind w:left="0" w:firstLine="403"/>
      </w:pPr>
      <w:rPr>
        <w:rFonts w:hint="eastAsia" w:ascii="宋体" w:hAnsi="宋体" w:eastAsia="宋体" w:cs="宋体"/>
        <w:b w:val="0"/>
        <w:bCs w:val="0"/>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3">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4">
    <w:nsid w:val="084A6179"/>
    <w:multiLevelType w:val="singleLevel"/>
    <w:tmpl w:val="084A6179"/>
    <w:lvl w:ilvl="0" w:tentative="0">
      <w:start w:val="1"/>
      <w:numFmt w:val="decimal"/>
      <w:suff w:val="nothing"/>
      <w:lvlText w:val="（%1）"/>
      <w:lvlJc w:val="left"/>
      <w:rPr>
        <w:rFonts w:hint="default"/>
        <w:highlight w:val="none"/>
      </w:rPr>
    </w:lvl>
  </w:abstractNum>
  <w:abstractNum w:abstractNumId="35">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6">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7">
    <w:nsid w:val="167B0BB4"/>
    <w:multiLevelType w:val="singleLevel"/>
    <w:tmpl w:val="167B0BB4"/>
    <w:lvl w:ilvl="0" w:tentative="0">
      <w:start w:val="1"/>
      <w:numFmt w:val="decimal"/>
      <w:suff w:val="nothing"/>
      <w:lvlText w:val="（%1）"/>
      <w:lvlJc w:val="left"/>
    </w:lvl>
  </w:abstractNum>
  <w:abstractNum w:abstractNumId="38">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9">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40">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41">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42">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3">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4">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6">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7">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8">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9">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50">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51">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52">
    <w:nsid w:val="5BA91325"/>
    <w:multiLevelType w:val="singleLevel"/>
    <w:tmpl w:val="5BA91325"/>
    <w:lvl w:ilvl="0" w:tentative="0">
      <w:start w:val="1"/>
      <w:numFmt w:val="decimal"/>
      <w:suff w:val="nothing"/>
      <w:lvlText w:val="（%1）"/>
      <w:lvlJc w:val="left"/>
      <w:rPr>
        <w:color w:val="000000"/>
      </w:rPr>
    </w:lvl>
  </w:abstractNum>
  <w:abstractNum w:abstractNumId="53">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4">
    <w:nsid w:val="69C07A9C"/>
    <w:multiLevelType w:val="singleLevel"/>
    <w:tmpl w:val="69C07A9C"/>
    <w:lvl w:ilvl="0" w:tentative="0">
      <w:start w:val="1"/>
      <w:numFmt w:val="lowerLetter"/>
      <w:suff w:val="space"/>
      <w:lvlText w:val="%1."/>
      <w:lvlJc w:val="left"/>
      <w:rPr>
        <w:color w:val="000000"/>
      </w:rPr>
    </w:lvl>
  </w:abstractNum>
  <w:abstractNum w:abstractNumId="55">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abstractNum w:abstractNumId="56">
    <w:nsid w:val="7BFE2269"/>
    <w:multiLevelType w:val="multilevel"/>
    <w:tmpl w:val="7BFE2269"/>
    <w:lvl w:ilvl="0" w:tentative="0">
      <w:start w:val="1"/>
      <w:numFmt w:val="decimal"/>
      <w:suff w:val="nothing"/>
      <w:lvlText w:val="%1．"/>
      <w:lvlJc w:val="left"/>
      <w:pPr>
        <w:ind w:left="0" w:firstLine="400"/>
      </w:pPr>
      <w:rPr>
        <w:rFonts w:hint="eastAsia" w:ascii="宋体" w:hAnsi="宋体" w:eastAsia="宋体" w:cs="宋体"/>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50"/>
  </w:num>
  <w:num w:numId="2">
    <w:abstractNumId w:val="46"/>
  </w:num>
  <w:num w:numId="3">
    <w:abstractNumId w:val="29"/>
  </w:num>
  <w:num w:numId="4">
    <w:abstractNumId w:val="25"/>
  </w:num>
  <w:num w:numId="5">
    <w:abstractNumId w:val="35"/>
  </w:num>
  <w:num w:numId="6">
    <w:abstractNumId w:val="24"/>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31"/>
  </w:num>
  <w:num w:numId="15">
    <w:abstractNumId w:val="56"/>
  </w:num>
  <w:num w:numId="16">
    <w:abstractNumId w:val="32"/>
  </w:num>
  <w:num w:numId="17">
    <w:abstractNumId w:val="45"/>
  </w:num>
  <w:num w:numId="18">
    <w:abstractNumId w:val="27"/>
  </w:num>
  <w:num w:numId="19">
    <w:abstractNumId w:val="47"/>
  </w:num>
  <w:num w:numId="20">
    <w:abstractNumId w:val="52"/>
  </w:num>
  <w:num w:numId="21">
    <w:abstractNumId w:val="54"/>
  </w:num>
  <w:num w:numId="22">
    <w:abstractNumId w:val="40"/>
  </w:num>
  <w:num w:numId="23">
    <w:abstractNumId w:val="15"/>
  </w:num>
  <w:num w:numId="24">
    <w:abstractNumId w:val="39"/>
  </w:num>
  <w:num w:numId="25">
    <w:abstractNumId w:val="18"/>
  </w:num>
  <w:num w:numId="26">
    <w:abstractNumId w:val="5"/>
  </w:num>
  <w:num w:numId="27">
    <w:abstractNumId w:val="49"/>
  </w:num>
  <w:num w:numId="28">
    <w:abstractNumId w:val="4"/>
  </w:num>
  <w:num w:numId="29">
    <w:abstractNumId w:val="34"/>
  </w:num>
  <w:num w:numId="30">
    <w:abstractNumId w:val="38"/>
  </w:num>
  <w:num w:numId="31">
    <w:abstractNumId w:val="55"/>
  </w:num>
  <w:num w:numId="32">
    <w:abstractNumId w:val="33"/>
  </w:num>
  <w:num w:numId="33">
    <w:abstractNumId w:val="17"/>
  </w:num>
  <w:num w:numId="34">
    <w:abstractNumId w:val="42"/>
  </w:num>
  <w:num w:numId="35">
    <w:abstractNumId w:val="0"/>
  </w:num>
  <w:num w:numId="36">
    <w:abstractNumId w:val="20"/>
  </w:num>
  <w:num w:numId="37">
    <w:abstractNumId w:val="44"/>
  </w:num>
  <w:num w:numId="38">
    <w:abstractNumId w:val="2"/>
  </w:num>
  <w:num w:numId="39">
    <w:abstractNumId w:val="21"/>
  </w:num>
  <w:num w:numId="40">
    <w:abstractNumId w:val="28"/>
  </w:num>
  <w:num w:numId="41">
    <w:abstractNumId w:val="48"/>
  </w:num>
  <w:num w:numId="42">
    <w:abstractNumId w:val="36"/>
  </w:num>
  <w:num w:numId="43">
    <w:abstractNumId w:val="14"/>
  </w:num>
  <w:num w:numId="44">
    <w:abstractNumId w:val="26"/>
  </w:num>
  <w:num w:numId="45">
    <w:abstractNumId w:val="22"/>
  </w:num>
  <w:num w:numId="46">
    <w:abstractNumId w:val="23"/>
  </w:num>
  <w:num w:numId="47">
    <w:abstractNumId w:val="53"/>
  </w:num>
  <w:num w:numId="48">
    <w:abstractNumId w:val="41"/>
  </w:num>
  <w:num w:numId="49">
    <w:abstractNumId w:val="1"/>
  </w:num>
  <w:num w:numId="50">
    <w:abstractNumId w:val="51"/>
  </w:num>
  <w:num w:numId="51">
    <w:abstractNumId w:val="11"/>
  </w:num>
  <w:num w:numId="52">
    <w:abstractNumId w:val="9"/>
  </w:num>
  <w:num w:numId="53">
    <w:abstractNumId w:val="12"/>
  </w:num>
  <w:num w:numId="54">
    <w:abstractNumId w:val="37"/>
  </w:num>
  <w:num w:numId="55">
    <w:abstractNumId w:val="19"/>
  </w:num>
  <w:num w:numId="56">
    <w:abstractNumId w:val="3"/>
  </w:num>
  <w:num w:numId="5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76F6F8A"/>
    <w:rsid w:val="089F06F0"/>
    <w:rsid w:val="08EC59C1"/>
    <w:rsid w:val="09012D55"/>
    <w:rsid w:val="093A6D15"/>
    <w:rsid w:val="09C724A3"/>
    <w:rsid w:val="09C80899"/>
    <w:rsid w:val="0A057859"/>
    <w:rsid w:val="0B4A184A"/>
    <w:rsid w:val="0CB54915"/>
    <w:rsid w:val="0CE01EEC"/>
    <w:rsid w:val="0D2F3D4F"/>
    <w:rsid w:val="0D5B65FA"/>
    <w:rsid w:val="0D7A6610"/>
    <w:rsid w:val="0E0C54BC"/>
    <w:rsid w:val="0E4F5341"/>
    <w:rsid w:val="10E7747B"/>
    <w:rsid w:val="10F25E29"/>
    <w:rsid w:val="11FA0C01"/>
    <w:rsid w:val="128B25FE"/>
    <w:rsid w:val="12DA17D8"/>
    <w:rsid w:val="15862C7E"/>
    <w:rsid w:val="164976A9"/>
    <w:rsid w:val="1775215A"/>
    <w:rsid w:val="178D1D7E"/>
    <w:rsid w:val="17EA7887"/>
    <w:rsid w:val="18321B09"/>
    <w:rsid w:val="18616AA2"/>
    <w:rsid w:val="191F0F43"/>
    <w:rsid w:val="19E235E1"/>
    <w:rsid w:val="1A7E4CCF"/>
    <w:rsid w:val="1BCD72C9"/>
    <w:rsid w:val="1BFB7C22"/>
    <w:rsid w:val="1C09008C"/>
    <w:rsid w:val="1D0817CE"/>
    <w:rsid w:val="1E635082"/>
    <w:rsid w:val="1F0F7AA5"/>
    <w:rsid w:val="1F6D3DCE"/>
    <w:rsid w:val="1F962D64"/>
    <w:rsid w:val="213B4CFA"/>
    <w:rsid w:val="21527232"/>
    <w:rsid w:val="21575C30"/>
    <w:rsid w:val="21B70797"/>
    <w:rsid w:val="21F67436"/>
    <w:rsid w:val="220D70EF"/>
    <w:rsid w:val="24885625"/>
    <w:rsid w:val="24A063EA"/>
    <w:rsid w:val="24C8157C"/>
    <w:rsid w:val="255170B3"/>
    <w:rsid w:val="25BD3406"/>
    <w:rsid w:val="260415D7"/>
    <w:rsid w:val="26896537"/>
    <w:rsid w:val="26B35F71"/>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12B96"/>
    <w:rsid w:val="351A5D92"/>
    <w:rsid w:val="35AA025C"/>
    <w:rsid w:val="35CA7D73"/>
    <w:rsid w:val="377307FA"/>
    <w:rsid w:val="3B1C12F3"/>
    <w:rsid w:val="3BD53B5C"/>
    <w:rsid w:val="3CC57F13"/>
    <w:rsid w:val="3D4C282D"/>
    <w:rsid w:val="3D970F4E"/>
    <w:rsid w:val="3DE106C6"/>
    <w:rsid w:val="3E540971"/>
    <w:rsid w:val="3E7508FE"/>
    <w:rsid w:val="3E786275"/>
    <w:rsid w:val="3E931F0D"/>
    <w:rsid w:val="3F7E2660"/>
    <w:rsid w:val="3FA31FDD"/>
    <w:rsid w:val="3FF6D16A"/>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30714"/>
    <w:rsid w:val="4C7EB6B0"/>
    <w:rsid w:val="4CC51C60"/>
    <w:rsid w:val="4D3204EA"/>
    <w:rsid w:val="4D697EB1"/>
    <w:rsid w:val="4DDF8641"/>
    <w:rsid w:val="4DFF95C2"/>
    <w:rsid w:val="4E08799D"/>
    <w:rsid w:val="4E2B414A"/>
    <w:rsid w:val="4F5679CC"/>
    <w:rsid w:val="501840BA"/>
    <w:rsid w:val="52B042C0"/>
    <w:rsid w:val="535DD037"/>
    <w:rsid w:val="53827B5D"/>
    <w:rsid w:val="53E86B53"/>
    <w:rsid w:val="54D66C67"/>
    <w:rsid w:val="5593D271"/>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EB7BF92"/>
    <w:rsid w:val="5F04726A"/>
    <w:rsid w:val="5F6D37D2"/>
    <w:rsid w:val="5F9C081D"/>
    <w:rsid w:val="606677EA"/>
    <w:rsid w:val="60F34C3C"/>
    <w:rsid w:val="617668BD"/>
    <w:rsid w:val="61D01645"/>
    <w:rsid w:val="63723353"/>
    <w:rsid w:val="64164D78"/>
    <w:rsid w:val="64993141"/>
    <w:rsid w:val="659F27EB"/>
    <w:rsid w:val="659F600E"/>
    <w:rsid w:val="65BF1737"/>
    <w:rsid w:val="67CE6661"/>
    <w:rsid w:val="680A5A06"/>
    <w:rsid w:val="68B9403E"/>
    <w:rsid w:val="68D511B9"/>
    <w:rsid w:val="68FA6041"/>
    <w:rsid w:val="69827CEE"/>
    <w:rsid w:val="6BDE71F2"/>
    <w:rsid w:val="6C9577EB"/>
    <w:rsid w:val="6CBA3A99"/>
    <w:rsid w:val="6D3A1203"/>
    <w:rsid w:val="6DAF8001"/>
    <w:rsid w:val="6E9C369D"/>
    <w:rsid w:val="6EF41B11"/>
    <w:rsid w:val="6F5F424F"/>
    <w:rsid w:val="6FFDCC13"/>
    <w:rsid w:val="6FFF49C1"/>
    <w:rsid w:val="702573F3"/>
    <w:rsid w:val="70B57531"/>
    <w:rsid w:val="70FA499F"/>
    <w:rsid w:val="730C182D"/>
    <w:rsid w:val="73FC9A3F"/>
    <w:rsid w:val="73FD8B13"/>
    <w:rsid w:val="751974A1"/>
    <w:rsid w:val="758B30E4"/>
    <w:rsid w:val="75F42331"/>
    <w:rsid w:val="761F7C3C"/>
    <w:rsid w:val="76683D2A"/>
    <w:rsid w:val="76C62D9E"/>
    <w:rsid w:val="77CF66E4"/>
    <w:rsid w:val="77FB6ED3"/>
    <w:rsid w:val="78244617"/>
    <w:rsid w:val="7A923507"/>
    <w:rsid w:val="7ACB640D"/>
    <w:rsid w:val="7B6A58A7"/>
    <w:rsid w:val="7BFF1A29"/>
    <w:rsid w:val="7C044D89"/>
    <w:rsid w:val="7C63442B"/>
    <w:rsid w:val="7CDB2DB5"/>
    <w:rsid w:val="7CFF9610"/>
    <w:rsid w:val="7D3AA22F"/>
    <w:rsid w:val="7D47E241"/>
    <w:rsid w:val="7D57B5BA"/>
    <w:rsid w:val="7DE35ECA"/>
    <w:rsid w:val="7E1A0C5A"/>
    <w:rsid w:val="7E3212D3"/>
    <w:rsid w:val="7F5936D0"/>
    <w:rsid w:val="7F5ED40B"/>
    <w:rsid w:val="7F5F887D"/>
    <w:rsid w:val="7F8D7071"/>
    <w:rsid w:val="7FCC7D05"/>
    <w:rsid w:val="7FEF42B8"/>
    <w:rsid w:val="7FEFCADF"/>
    <w:rsid w:val="7FFED134"/>
    <w:rsid w:val="7FFF8EDB"/>
    <w:rsid w:val="8FE62966"/>
    <w:rsid w:val="9BBF1AF8"/>
    <w:rsid w:val="9F1F0292"/>
    <w:rsid w:val="9F9F25DF"/>
    <w:rsid w:val="9FD01BC3"/>
    <w:rsid w:val="AB7FC9F2"/>
    <w:rsid w:val="ADFD0E4E"/>
    <w:rsid w:val="B3FE25BF"/>
    <w:rsid w:val="B97F0511"/>
    <w:rsid w:val="BBE04242"/>
    <w:rsid w:val="BDD3E890"/>
    <w:rsid w:val="BE6E0F8F"/>
    <w:rsid w:val="BFDFFDFD"/>
    <w:rsid w:val="BFEBE861"/>
    <w:rsid w:val="C679D4D5"/>
    <w:rsid w:val="CFFF8A5B"/>
    <w:rsid w:val="D3F75F2E"/>
    <w:rsid w:val="D3FFF2E3"/>
    <w:rsid w:val="D4B948F0"/>
    <w:rsid w:val="D55CE63F"/>
    <w:rsid w:val="D74B89BD"/>
    <w:rsid w:val="D7BE90C3"/>
    <w:rsid w:val="DBDFAA48"/>
    <w:rsid w:val="DFA7BB0D"/>
    <w:rsid w:val="E7BE8365"/>
    <w:rsid w:val="E9FF1448"/>
    <w:rsid w:val="EE0A5BC3"/>
    <w:rsid w:val="F06DB0AB"/>
    <w:rsid w:val="F2F53720"/>
    <w:rsid w:val="F3F331A4"/>
    <w:rsid w:val="F3FF81F7"/>
    <w:rsid w:val="F5350BB3"/>
    <w:rsid w:val="F577156D"/>
    <w:rsid w:val="F7F830A4"/>
    <w:rsid w:val="F7FE62B6"/>
    <w:rsid w:val="F7FFDCC3"/>
    <w:rsid w:val="F9B5CD4A"/>
    <w:rsid w:val="FA543BA3"/>
    <w:rsid w:val="FD7F9463"/>
    <w:rsid w:val="FE3FA669"/>
    <w:rsid w:val="FE7FAA21"/>
    <w:rsid w:val="FEAED78B"/>
    <w:rsid w:val="FEB53EE0"/>
    <w:rsid w:val="FF760428"/>
    <w:rsid w:val="FFEF0B34"/>
    <w:rsid w:val="FFEF47D7"/>
    <w:rsid w:val="FFF765AF"/>
    <w:rsid w:val="FFFD6BF4"/>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38760</Words>
  <Characters>40986</Characters>
  <Lines>1</Lines>
  <Paragraphs>1</Paragraphs>
  <TotalTime>0</TotalTime>
  <ScaleCrop>false</ScaleCrop>
  <LinksUpToDate>false</LinksUpToDate>
  <CharactersWithSpaces>41322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hccb</cp:lastModifiedBy>
  <dcterms:modified xsi:type="dcterms:W3CDTF">2026-07-21T07:36:13Z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BFC29919FAC82531CED25D6A528ACFF7_43</vt:lpwstr>
  </property>
  <property fmtid="{D5CDD505-2E9C-101B-9397-08002B2CF9AE}" pid="3" name="KSOProductBuildVer">
    <vt:lpwstr>2052-11.8.2.8411</vt:lpwstr>
  </property>
</Properties>
</file>