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2.0 -->
  <w:background w:color="ffffff">
    <v:background id="_x0000_s1025" filled="t"/>
  </w:background>
  <w:body>
    <w:p w14:paraId="38DA3742">
      <w:pPr>
        <w:pageBreakBefore/>
        <w:widowControl/>
        <w:spacing w:before="0" w:line="120" w:lineRule="auto"/>
        <w:jc w:val="center"/>
        <w:outlineLvl w:val="0"/>
        <w:rPr>
          <w:rFonts w:ascii="Calibri" w:eastAsia="宋体" w:hAnsi="Calibri" w:cs="黑体" w:hint="eastAsia"/>
          <w:b/>
          <w:bCs w:val="0"/>
          <w:sz w:val="44"/>
          <w:szCs w:val="44"/>
          <w:highlight w:val="none"/>
        </w:rPr>
      </w:pPr>
      <w:r>
        <w:rPr>
          <w:rFonts w:ascii="Calibri" w:eastAsia="宋体" w:hAnsi="Calibri" w:cs="黑体" w:hint="eastAsia"/>
          <w:b/>
          <w:bCs w:val="0"/>
          <w:color w:val="000000"/>
          <w:sz w:val="44"/>
          <w:szCs w:val="44"/>
          <w:highlight w:val="none"/>
          <w:lang w:val="en-US" w:eastAsia="zh-CN"/>
        </w:rPr>
        <w:t>杭银理财理财计划</w:t>
      </w:r>
      <w:r>
        <w:rPr>
          <w:rFonts w:ascii="Calibri" w:eastAsia="宋体" w:hAnsi="Calibri" w:cs="黑体" w:hint="eastAsia"/>
          <w:b/>
          <w:bCs w:val="0"/>
          <w:color w:val="000000"/>
          <w:sz w:val="44"/>
          <w:szCs w:val="44"/>
          <w:highlight w:val="none"/>
        </w:rPr>
        <w:t>销售协议书</w:t>
      </w:r>
    </w:p>
    <w:p w14:paraId="67B374D3">
      <w:pPr>
        <w:jc w:val="center"/>
        <w:rPr>
          <w:rFonts w:ascii="宋体" w:eastAsia="宋体" w:hAnsi="宋体" w:cs="宋体" w:hint="eastAsia"/>
          <w:b w:val="0"/>
          <w:bCs w:val="0"/>
          <w:sz w:val="28"/>
          <w:szCs w:val="28"/>
          <w:highlight w:val="none"/>
        </w:rPr>
      </w:pPr>
      <w:r>
        <w:rPr>
          <w:rFonts w:ascii="宋体" w:eastAsia="宋体" w:hAnsi="宋体" w:cs="宋体" w:hint="eastAsia"/>
          <w:color w:val="000000"/>
          <w:sz w:val="28"/>
          <w:szCs w:val="28"/>
          <w:highlight w:val="none"/>
        </w:rPr>
        <w:t>（</w:t>
      </w:r>
      <w:r>
        <w:rPr>
          <w:rFonts w:ascii="宋体" w:eastAsia="宋体" w:hAnsi="宋体" w:cs="宋体" w:hint="eastAsia"/>
          <w:color w:val="000000"/>
          <w:sz w:val="28"/>
          <w:szCs w:val="28"/>
          <w:highlight w:val="none"/>
          <w:lang w:eastAsia="zh-CN"/>
        </w:rPr>
        <w:t>202601</w:t>
      </w:r>
      <w:r>
        <w:rPr>
          <w:rFonts w:ascii="宋体" w:eastAsia="宋体" w:hAnsi="宋体" w:cs="宋体" w:hint="eastAsia"/>
          <w:color w:val="000000"/>
          <w:sz w:val="28"/>
          <w:szCs w:val="28"/>
          <w:highlight w:val="none"/>
        </w:rPr>
        <w:t>版）</w:t>
      </w:r>
    </w:p>
    <w:p w14:paraId="576CD0F5">
      <w:pPr>
        <w:spacing w:line="360" w:lineRule="auto"/>
        <w:jc w:val="center"/>
        <w:rPr>
          <w:rFonts w:hint="default"/>
          <w:sz w:val="32"/>
          <w:szCs w:val="40"/>
          <w:highlight w:val="none"/>
          <w:lang w:val="en-US" w:eastAsia="zh-CN"/>
        </w:rPr>
      </w:pPr>
      <w:r>
        <w:rPr>
          <w:rFonts w:ascii="宋体" w:hAnsi="宋体" w:cs="宋体" w:hint="eastAsia"/>
          <w:b/>
          <w:bCs/>
          <w:color w:val="000000"/>
          <w:sz w:val="24"/>
          <w:highlight w:val="none"/>
          <w:u w:val="single"/>
        </w:rPr>
        <w:t>理财非存款、产品有风险、投资须谨慎</w:t>
      </w:r>
    </w:p>
    <w:p w14:paraId="79F1AFF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Calibri" w:eastAsia="宋体" w:hAnsi="Calibri" w:cs="黑体" w:hint="eastAsia"/>
          <w:b/>
          <w:bCs/>
          <w:sz w:val="24"/>
          <w:highlight w:val="none"/>
        </w:rPr>
      </w:pPr>
      <w:r>
        <w:rPr>
          <w:rFonts w:ascii="Calibri" w:eastAsia="宋体" w:hAnsi="Calibri" w:cs="黑体" w:hint="eastAsia"/>
          <w:b/>
          <w:bCs/>
          <w:color w:val="000000"/>
          <w:sz w:val="24"/>
          <w:highlight w:val="none"/>
        </w:rPr>
        <w:t>特别提示：</w:t>
      </w:r>
      <w:r>
        <w:rPr>
          <w:rFonts w:ascii="Calibri" w:eastAsia="宋体" w:hAnsi="Calibri" w:cs="黑体" w:hint="eastAsia"/>
          <w:b/>
          <w:bCs/>
          <w:color w:val="000000"/>
          <w:sz w:val="24"/>
          <w:highlight w:val="none"/>
          <w:lang w:eastAsia="zh-CN"/>
        </w:rPr>
        <w:t>《</w:t>
      </w:r>
      <w:r>
        <w:rPr>
          <w:rFonts w:ascii="Calibri" w:eastAsia="宋体" w:hAnsi="Calibri" w:cs="黑体" w:hint="eastAsia"/>
          <w:b/>
          <w:bCs/>
          <w:color w:val="000000"/>
          <w:sz w:val="24"/>
          <w:highlight w:val="none"/>
        </w:rPr>
        <w:t>杭银理财</w:t>
      </w:r>
      <w:r>
        <w:rPr>
          <w:rFonts w:ascii="Calibri" w:eastAsia="宋体" w:hAnsi="Calibri" w:cs="黑体" w:hint="eastAsia"/>
          <w:b/>
          <w:bCs/>
          <w:color w:val="000000"/>
          <w:sz w:val="24"/>
          <w:highlight w:val="none"/>
          <w:lang w:val="en-US" w:eastAsia="zh-CN"/>
        </w:rPr>
        <w:t>理财计划销售协议书</w:t>
      </w:r>
      <w:r>
        <w:rPr>
          <w:rFonts w:ascii="宋体" w:eastAsia="宋体" w:hAnsi="宋体" w:cs="宋体" w:hint="eastAsia"/>
          <w:b/>
          <w:bCs/>
          <w:color w:val="000000"/>
          <w:sz w:val="24"/>
          <w:highlight w:val="none"/>
          <w:lang w:val="en-US" w:eastAsia="zh-CN"/>
        </w:rPr>
        <w:t>（202601</w:t>
      </w:r>
      <w:r>
        <w:rPr>
          <w:rFonts w:ascii="Calibri" w:eastAsia="宋体" w:hAnsi="Calibri" w:cs="黑体" w:hint="eastAsia"/>
          <w:b/>
          <w:bCs/>
          <w:color w:val="000000"/>
          <w:sz w:val="24"/>
          <w:highlight w:val="none"/>
          <w:lang w:val="en-US" w:eastAsia="zh-CN"/>
        </w:rPr>
        <w:t>版）</w:t>
      </w:r>
      <w:r>
        <w:rPr>
          <w:rFonts w:ascii="Calibri" w:eastAsia="宋体" w:hAnsi="Calibri" w:cs="黑体" w:hint="eastAsia"/>
          <w:b/>
          <w:bCs/>
          <w:color w:val="000000"/>
          <w:sz w:val="24"/>
          <w:highlight w:val="none"/>
          <w:lang w:eastAsia="zh-CN"/>
        </w:rPr>
        <w:t>》</w:t>
      </w:r>
      <w:r>
        <w:rPr>
          <w:rFonts w:ascii="Calibri" w:eastAsia="宋体" w:hAnsi="Calibri" w:cs="黑体" w:hint="eastAsia"/>
          <w:b/>
          <w:bCs/>
          <w:color w:val="000000"/>
          <w:sz w:val="24"/>
          <w:highlight w:val="none"/>
          <w:lang w:val="en-US" w:eastAsia="zh-CN"/>
        </w:rPr>
        <w:t>与对应期次的</w:t>
      </w:r>
      <w:r>
        <w:rPr>
          <w:rFonts w:eastAsia="宋体" w:cs="黑体" w:hint="eastAsia"/>
          <w:b/>
          <w:bCs/>
          <w:color w:val="000000"/>
          <w:sz w:val="24"/>
          <w:highlight w:val="none"/>
          <w:lang w:val="en-US" w:eastAsia="zh-CN"/>
        </w:rPr>
        <w:t>理财计划风险揭示书、理财计划产品说明书、投资者权益须知及</w:t>
      </w:r>
      <w:r>
        <w:rPr>
          <w:rFonts w:ascii="Calibri" w:eastAsia="宋体" w:hAnsi="Calibri" w:cs="黑体" w:hint="eastAsia"/>
          <w:b/>
          <w:bCs/>
          <w:color w:val="000000"/>
          <w:sz w:val="24"/>
          <w:highlight w:val="none"/>
        </w:rPr>
        <w:t>理财计划投资协议书共同构成完整且不可分割的理财计划</w:t>
      </w:r>
      <w:r>
        <w:rPr>
          <w:rFonts w:ascii="Calibri" w:eastAsia="宋体" w:hAnsi="Calibri" w:cs="黑体" w:hint="eastAsia"/>
          <w:b/>
          <w:bCs/>
          <w:color w:val="000000"/>
          <w:sz w:val="24"/>
          <w:highlight w:val="none"/>
          <w:lang w:val="en-US" w:eastAsia="zh-CN"/>
        </w:rPr>
        <w:t>合同</w:t>
      </w:r>
      <w:r>
        <w:rPr>
          <w:rFonts w:ascii="Calibri" w:eastAsia="宋体" w:hAnsi="Calibri" w:cs="黑体" w:hint="eastAsia"/>
          <w:b/>
          <w:bCs/>
          <w:color w:val="000000"/>
          <w:sz w:val="24"/>
          <w:highlight w:val="none"/>
        </w:rPr>
        <w:t>。杭银理财有限责任公司（以下简称“杭银理财”）建议投资者在购买理财计划前认真阅读</w:t>
      </w:r>
      <w:r>
        <w:rPr>
          <w:rFonts w:ascii="Calibri" w:eastAsia="宋体" w:hAnsi="Calibri" w:cs="黑体" w:hint="eastAsia"/>
          <w:b/>
          <w:bCs/>
          <w:color w:val="000000"/>
          <w:sz w:val="24"/>
          <w:highlight w:val="none"/>
          <w:lang w:val="en-US" w:eastAsia="zh-CN"/>
        </w:rPr>
        <w:t>全套</w:t>
      </w:r>
      <w:r>
        <w:rPr>
          <w:rFonts w:ascii="Calibri" w:eastAsia="宋体" w:hAnsi="Calibri" w:cs="黑体" w:hint="eastAsia"/>
          <w:b/>
          <w:bCs/>
          <w:color w:val="000000"/>
          <w:sz w:val="24"/>
          <w:highlight w:val="none"/>
        </w:rPr>
        <w:t>理财计划</w:t>
      </w:r>
      <w:r>
        <w:rPr>
          <w:rFonts w:ascii="Calibri" w:eastAsia="宋体" w:hAnsi="Calibri" w:cs="黑体" w:hint="eastAsia"/>
          <w:b/>
          <w:bCs/>
          <w:color w:val="000000"/>
          <w:sz w:val="24"/>
          <w:highlight w:val="none"/>
          <w:lang w:val="en-US" w:eastAsia="zh-CN"/>
        </w:rPr>
        <w:t>合同</w:t>
      </w:r>
      <w:r>
        <w:rPr>
          <w:rFonts w:ascii="Calibri" w:eastAsia="宋体" w:hAnsi="Calibri" w:cs="黑体" w:hint="eastAsia"/>
          <w:b/>
          <w:bCs/>
          <w:color w:val="000000"/>
          <w:sz w:val="24"/>
          <w:highlight w:val="none"/>
        </w:rPr>
        <w:t>，投资者签署本协议书（含电子渠道签署）即知晓并同意已详细阅读理财计划合同并知悉相关风险，自愿投资购买理财计划、遵守合同约定并承担相应风险。</w:t>
      </w:r>
    </w:p>
    <w:p w14:paraId="74F02D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Calibri" w:eastAsia="宋体" w:hAnsi="Calibri" w:cs="黑体" w:hint="default"/>
          <w:b/>
          <w:bCs/>
          <w:sz w:val="24"/>
          <w:highlight w:val="none"/>
          <w:lang w:val="en-US" w:eastAsia="zh-CN"/>
        </w:rPr>
      </w:pPr>
      <w:r>
        <w:rPr>
          <w:rFonts w:ascii="Calibri" w:eastAsia="宋体" w:hAnsi="Calibri" w:cs="黑体" w:hint="eastAsia"/>
          <w:b/>
          <w:bCs/>
          <w:color w:val="000000"/>
          <w:sz w:val="24"/>
          <w:highlight w:val="none"/>
          <w:lang w:val="en-US" w:eastAsia="zh-CN"/>
        </w:rPr>
        <w:t>理财非存款、产品有风险、投资须谨慎，理财计划过往业绩不代表其未来表现，不等于理财计划实际收益。</w:t>
      </w:r>
    </w:p>
    <w:p w14:paraId="215C6A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Calibri" w:eastAsia="宋体" w:hAnsi="Calibri" w:cs="黑体" w:hint="eastAsia"/>
          <w:sz w:val="24"/>
          <w:highlight w:val="none"/>
          <w:lang w:val="en-US" w:eastAsia="zh-CN"/>
        </w:rPr>
      </w:pPr>
      <w:r>
        <w:rPr>
          <w:rFonts w:ascii="Calibri" w:eastAsia="宋体" w:hAnsi="Calibri" w:cs="黑体" w:hint="eastAsia"/>
          <w:color w:val="000000"/>
          <w:sz w:val="24"/>
          <w:highlight w:val="none"/>
          <w:lang w:val="en-US" w:eastAsia="zh-CN"/>
        </w:rPr>
        <w:t>理财计划销售的相关法律主体为发行理财计划的理财公司、</w:t>
      </w:r>
      <w:r>
        <w:rPr>
          <w:rFonts w:eastAsia="宋体" w:cs="黑体" w:hint="eastAsia"/>
          <w:color w:val="000000"/>
          <w:sz w:val="24"/>
          <w:highlight w:val="none"/>
          <w:lang w:val="en-US" w:eastAsia="zh-CN"/>
        </w:rPr>
        <w:t>理财公司自有销售渠道以及</w:t>
      </w:r>
      <w:r>
        <w:rPr>
          <w:rFonts w:ascii="Calibri" w:eastAsia="宋体" w:hAnsi="Calibri" w:cs="黑体" w:hint="eastAsia"/>
          <w:color w:val="000000"/>
          <w:sz w:val="24"/>
          <w:highlight w:val="none"/>
          <w:lang w:val="en-US" w:eastAsia="zh-CN"/>
        </w:rPr>
        <w:t>接受理财公司委托销售其发行理财计划的代理销售机构（以下简称“销售机构”）和投资者三方。理财公司是理财计划的设计发行方与管理人，</w:t>
      </w:r>
      <w:r>
        <w:rPr>
          <w:rFonts w:eastAsia="宋体" w:cs="黑体" w:hint="eastAsia"/>
          <w:color w:val="000000"/>
          <w:sz w:val="24"/>
          <w:highlight w:val="none"/>
          <w:lang w:val="en-US" w:eastAsia="zh-CN"/>
        </w:rPr>
        <w:t>理财公司和</w:t>
      </w:r>
      <w:r>
        <w:rPr>
          <w:rFonts w:ascii="Calibri" w:eastAsia="宋体" w:hAnsi="Calibri" w:cs="黑体" w:hint="eastAsia"/>
          <w:color w:val="000000"/>
          <w:sz w:val="24"/>
          <w:highlight w:val="none"/>
          <w:lang w:val="en-US" w:eastAsia="zh-CN"/>
        </w:rPr>
        <w:t>销售机构面向投资者实施销售行为，两方共同承担理财计划的合规销售和投资者合法权益保护义务。</w:t>
      </w:r>
    </w:p>
    <w:p w14:paraId="24FB9641">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Calibri" w:eastAsia="宋体" w:hAnsi="Calibri" w:cs="黑体" w:hint="eastAsia"/>
          <w:sz w:val="24"/>
          <w:highlight w:val="none"/>
          <w:lang w:val="en-US" w:eastAsia="zh-CN"/>
        </w:rPr>
      </w:pPr>
      <w:r>
        <w:rPr>
          <w:rFonts w:ascii="Calibri" w:eastAsia="宋体" w:hAnsi="Calibri" w:cs="黑体" w:hint="eastAsia"/>
          <w:color w:val="000000"/>
          <w:sz w:val="24"/>
          <w:highlight w:val="none"/>
          <w:lang w:val="en-US" w:eastAsia="zh-CN"/>
        </w:rPr>
        <w:t>投资者与销售机构经平等友好协商，本着自愿、诚实信用原则，就投资者购买销售机构代理销售的理财计划有关事宜达成如下协议（以下简称“本协议”）：</w:t>
      </w:r>
    </w:p>
    <w:p w14:paraId="7C70B90C">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Calibri" w:eastAsia="宋体" w:hAnsi="Calibri" w:cs="黑体" w:hint="eastAsia"/>
          <w:sz w:val="24"/>
          <w:highlight w:val="none"/>
          <w:lang w:val="en-US" w:eastAsia="zh-CN"/>
        </w:rPr>
      </w:pPr>
    </w:p>
    <w:p w14:paraId="08DA3DA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第一条 </w:t>
      </w:r>
      <w:r>
        <w:rPr>
          <w:rFonts w:ascii="Calibri" w:eastAsia="宋体" w:hAnsi="Calibri" w:cs="黑体" w:hint="eastAsia"/>
          <w:b/>
          <w:bCs/>
          <w:color w:val="000000"/>
          <w:sz w:val="24"/>
          <w:highlight w:val="none"/>
          <w:lang w:val="en-US" w:eastAsia="zh-CN"/>
        </w:rPr>
        <w:t>名词释义</w:t>
      </w:r>
    </w:p>
    <w:p w14:paraId="4E14A3B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Calibri" w:eastAsia="宋体" w:hAnsi="Calibri" w:cs="黑体" w:hint="eastAsia"/>
          <w:bCs/>
          <w:sz w:val="24"/>
          <w:highlight w:val="none"/>
          <w:lang w:val="en-US" w:eastAsia="zh-CN"/>
        </w:rPr>
      </w:pPr>
      <w:r>
        <w:rPr>
          <w:rFonts w:ascii="Calibri" w:eastAsia="宋体" w:hAnsi="Calibri" w:cs="黑体" w:hint="eastAsia"/>
          <w:bCs/>
          <w:color w:val="000000"/>
          <w:sz w:val="24"/>
          <w:highlight w:val="none"/>
          <w:lang w:val="en-US" w:eastAsia="zh-CN"/>
        </w:rPr>
        <w:t>详见对应期次的理财计划产品说明书“释义”部分。</w:t>
      </w:r>
    </w:p>
    <w:p w14:paraId="6169374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Calibri" w:eastAsia="宋体" w:hAnsi="Calibri" w:cs="黑体" w:hint="eastAsia"/>
          <w:bCs/>
          <w:sz w:val="24"/>
          <w:highlight w:val="none"/>
          <w:lang w:val="en-US" w:eastAsia="zh-CN"/>
        </w:rPr>
      </w:pPr>
    </w:p>
    <w:p w14:paraId="7C11AED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第二条 </w:t>
      </w:r>
      <w:r>
        <w:rPr>
          <w:rFonts w:ascii="Calibri" w:eastAsia="宋体" w:hAnsi="Calibri" w:cs="黑体" w:hint="eastAsia"/>
          <w:b/>
          <w:bCs/>
          <w:color w:val="000000"/>
          <w:sz w:val="24"/>
          <w:highlight w:val="none"/>
          <w:lang w:val="en-US" w:eastAsia="zh-CN"/>
        </w:rPr>
        <w:t>投资者权利与义务</w:t>
      </w:r>
    </w:p>
    <w:p w14:paraId="2745D7A4">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ascii="宋体" w:eastAsia="宋体" w:hAnsi="宋体" w:cs="黑体" w:hint="eastAsia"/>
          <w:color w:val="000000"/>
          <w:kern w:val="2"/>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14:paraId="65D94D98">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投资者保证自身完全了解理财投资的性质，投资所涉及的风险以及自身风险承受能力，在慎重考虑后独立作出交易决定。</w:t>
      </w:r>
    </w:p>
    <w:p w14:paraId="3D3041BC">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b/>
          <w:bCs/>
          <w:color w:val="000000"/>
          <w:sz w:val="24"/>
          <w:highlight w:val="none"/>
        </w:rPr>
        <w:t>投资者购买</w:t>
      </w:r>
      <w:r>
        <w:rPr>
          <w:rFonts w:ascii="宋体" w:eastAsia="宋体" w:hAnsi="宋体" w:cs="黑体" w:hint="eastAsia"/>
          <w:b/>
          <w:bCs/>
          <w:color w:val="000000"/>
          <w:sz w:val="24"/>
          <w:highlight w:val="none"/>
          <w:lang w:val="en-US" w:eastAsia="zh-CN"/>
        </w:rPr>
        <w:t>销售机构</w:t>
      </w:r>
      <w:r>
        <w:rPr>
          <w:rFonts w:ascii="宋体" w:eastAsia="宋体" w:hAnsi="宋体" w:cs="黑体" w:hint="eastAsia"/>
          <w:b/>
          <w:bCs/>
          <w:color w:val="000000"/>
          <w:sz w:val="24"/>
          <w:highlight w:val="none"/>
          <w:lang w:eastAsia="zh-CN"/>
        </w:rPr>
        <w:t>代理销售</w:t>
      </w:r>
      <w:r>
        <w:rPr>
          <w:rFonts w:ascii="宋体" w:eastAsia="宋体" w:hAnsi="宋体" w:cs="黑体" w:hint="eastAsia"/>
          <w:b/>
          <w:bCs/>
          <w:color w:val="000000"/>
          <w:sz w:val="24"/>
          <w:highlight w:val="none"/>
        </w:rPr>
        <w:t>的私募</w:t>
      </w:r>
      <w:r>
        <w:rPr>
          <w:rFonts w:ascii="宋体" w:eastAsia="宋体" w:hAnsi="宋体" w:cs="黑体" w:hint="eastAsia"/>
          <w:b/>
          <w:bCs/>
          <w:color w:val="000000"/>
          <w:sz w:val="24"/>
          <w:highlight w:val="none"/>
          <w:lang w:eastAsia="zh-CN"/>
        </w:rPr>
        <w:t>理财计划</w:t>
      </w:r>
      <w:r>
        <w:rPr>
          <w:rFonts w:ascii="宋体" w:eastAsia="宋体" w:hAnsi="宋体" w:cs="黑体" w:hint="eastAsia"/>
          <w:b/>
          <w:bCs/>
          <w:color w:val="000000"/>
          <w:sz w:val="24"/>
          <w:highlight w:val="none"/>
        </w:rPr>
        <w:t>后，可以享有24 小时的投资冷静期，在投资冷静期内，如</w:t>
      </w:r>
      <w:r>
        <w:rPr>
          <w:rFonts w:ascii="宋体" w:eastAsia="宋体" w:hAnsi="宋体" w:cs="黑体" w:hint="eastAsia"/>
          <w:b/>
          <w:bCs/>
          <w:color w:val="000000"/>
          <w:sz w:val="24"/>
          <w:highlight w:val="none"/>
          <w:lang w:val="en-US" w:eastAsia="zh-CN"/>
        </w:rPr>
        <w:t>投资者</w:t>
      </w:r>
      <w:r>
        <w:rPr>
          <w:rFonts w:ascii="宋体" w:eastAsia="宋体" w:hAnsi="宋体" w:cs="黑体" w:hint="eastAsia"/>
          <w:b/>
          <w:bCs/>
          <w:color w:val="000000"/>
          <w:sz w:val="24"/>
          <w:highlight w:val="none"/>
        </w:rPr>
        <w:t>改变投资决定，应提出解除相应理财</w:t>
      </w:r>
      <w:r>
        <w:rPr>
          <w:rFonts w:ascii="宋体" w:eastAsia="宋体" w:hAnsi="宋体" w:cs="黑体" w:hint="eastAsia"/>
          <w:b/>
          <w:bCs/>
          <w:color w:val="000000"/>
          <w:sz w:val="24"/>
          <w:highlight w:val="none"/>
          <w:lang w:val="en-US" w:eastAsia="zh-CN"/>
        </w:rPr>
        <w:t>计划合同</w:t>
      </w:r>
      <w:r>
        <w:rPr>
          <w:rFonts w:ascii="宋体" w:eastAsia="宋体" w:hAnsi="宋体" w:cs="黑体" w:hint="eastAsia"/>
          <w:b/>
          <w:bCs/>
          <w:color w:val="000000"/>
          <w:sz w:val="24"/>
          <w:highlight w:val="none"/>
        </w:rPr>
        <w:t>文件申请，</w:t>
      </w:r>
      <w:r>
        <w:rPr>
          <w:rFonts w:ascii="宋体" w:eastAsia="宋体" w:hAnsi="宋体" w:cs="黑体" w:hint="eastAsia"/>
          <w:b/>
          <w:bCs/>
          <w:color w:val="000000"/>
          <w:sz w:val="24"/>
          <w:highlight w:val="none"/>
          <w:lang w:val="en-US" w:eastAsia="zh-CN"/>
        </w:rPr>
        <w:t>销售机构</w:t>
      </w:r>
      <w:r>
        <w:rPr>
          <w:rFonts w:ascii="宋体" w:eastAsia="宋体" w:hAnsi="宋体" w:cs="黑体" w:hint="eastAsia"/>
          <w:b/>
          <w:bCs/>
          <w:color w:val="000000"/>
          <w:sz w:val="24"/>
          <w:highlight w:val="none"/>
        </w:rPr>
        <w:t>将及时退还</w:t>
      </w:r>
      <w:r>
        <w:rPr>
          <w:rFonts w:ascii="宋体" w:eastAsia="宋体" w:hAnsi="宋体" w:cs="黑体" w:hint="eastAsia"/>
          <w:b/>
          <w:bCs/>
          <w:color w:val="000000"/>
          <w:sz w:val="24"/>
          <w:highlight w:val="none"/>
          <w:lang w:val="en-US" w:eastAsia="zh-CN"/>
        </w:rPr>
        <w:t>投资者</w:t>
      </w:r>
      <w:r>
        <w:rPr>
          <w:rFonts w:ascii="宋体" w:eastAsia="宋体" w:hAnsi="宋体" w:cs="黑体" w:hint="eastAsia"/>
          <w:b/>
          <w:bCs/>
          <w:color w:val="000000"/>
          <w:sz w:val="24"/>
          <w:highlight w:val="none"/>
        </w:rPr>
        <w:t>的全部投资款项。</w:t>
      </w:r>
      <w:r>
        <w:rPr>
          <w:rFonts w:ascii="宋体" w:eastAsia="宋体" w:hAnsi="宋体" w:cs="黑体" w:hint="eastAsia"/>
          <w:color w:val="000000"/>
          <w:sz w:val="24"/>
          <w:highlight w:val="none"/>
        </w:rPr>
        <w:t>投资冷静期相关约定详见</w:t>
      </w:r>
      <w:r>
        <w:rPr>
          <w:rFonts w:ascii="宋体" w:eastAsia="宋体" w:hAnsi="宋体" w:cs="黑体" w:hint="eastAsia"/>
          <w:color w:val="000000"/>
          <w:sz w:val="24"/>
          <w:highlight w:val="none"/>
          <w:lang w:val="en-US" w:eastAsia="zh-CN"/>
        </w:rPr>
        <w:t>理财计划产品</w:t>
      </w:r>
      <w:r>
        <w:rPr>
          <w:rFonts w:ascii="宋体" w:eastAsia="宋体" w:hAnsi="宋体" w:cs="黑体" w:hint="eastAsia"/>
          <w:color w:val="000000"/>
          <w:sz w:val="24"/>
          <w:highlight w:val="none"/>
        </w:rPr>
        <w:t>说明书</w:t>
      </w:r>
      <w:r>
        <w:rPr>
          <w:rFonts w:ascii="宋体" w:eastAsia="宋体" w:hAnsi="宋体" w:cs="黑体" w:hint="eastAsia"/>
          <w:color w:val="000000"/>
          <w:sz w:val="24"/>
          <w:highlight w:val="none"/>
          <w:lang w:eastAsia="zh-CN"/>
        </w:rPr>
        <w:t>。</w:t>
      </w:r>
    </w:p>
    <w:p w14:paraId="25E7121F">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投资者保证其有权利签署本协议和履行本协议所述的义务，并已为此采取一切所需的行为。</w:t>
      </w:r>
    </w:p>
    <w:p w14:paraId="6813BC42">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投资者保证执行及交付任何文件或履行本协议项下的义务，均不会违反任何适用法律、法规、法令或法律限制</w:t>
      </w:r>
      <w:r>
        <w:rPr>
          <w:rFonts w:ascii="宋体" w:eastAsia="宋体" w:hAnsi="宋体" w:cs="黑体" w:hint="eastAsia"/>
          <w:color w:val="000000"/>
          <w:sz w:val="24"/>
          <w:highlight w:val="none"/>
          <w:lang w:eastAsia="zh-CN"/>
        </w:rPr>
        <w:t>；</w:t>
      </w:r>
      <w:r>
        <w:rPr>
          <w:rFonts w:ascii="宋体" w:eastAsia="宋体" w:hAnsi="宋体" w:cs="黑体" w:hint="eastAsia"/>
          <w:color w:val="000000"/>
          <w:sz w:val="24"/>
          <w:highlight w:val="none"/>
        </w:rPr>
        <w:t>不会违反任何法院或政府机关所作出的适用于投资者或投资者任何资产的判决或指令；不会违反对投资者或投资者任何资产有约束力的任何重大协议条款。投资者应在签署本协议的同时在</w:t>
      </w:r>
      <w:r>
        <w:rPr>
          <w:rFonts w:ascii="宋体" w:eastAsia="宋体" w:hAnsi="宋体" w:cs="黑体" w:hint="eastAsia"/>
          <w:color w:val="000000"/>
          <w:sz w:val="24"/>
          <w:highlight w:val="none"/>
          <w:lang w:val="en-US" w:eastAsia="zh-CN"/>
        </w:rPr>
        <w:t>其</w:t>
      </w:r>
      <w:r>
        <w:rPr>
          <w:rFonts w:ascii="宋体" w:eastAsia="宋体" w:hAnsi="宋体" w:cs="黑体" w:hint="eastAsia"/>
          <w:color w:val="000000"/>
          <w:sz w:val="24"/>
          <w:highlight w:val="none"/>
        </w:rPr>
        <w:t>授权指定</w:t>
      </w:r>
      <w:r>
        <w:rPr>
          <w:rFonts w:ascii="宋体" w:eastAsia="宋体" w:hAnsi="宋体" w:cs="黑体" w:hint="eastAsia"/>
          <w:color w:val="000000"/>
          <w:sz w:val="24"/>
          <w:highlight w:val="none"/>
          <w:lang w:val="en-US" w:eastAsia="zh-CN"/>
        </w:rPr>
        <w:t>的</w:t>
      </w:r>
      <w:r>
        <w:rPr>
          <w:rFonts w:ascii="宋体" w:eastAsia="宋体" w:hAnsi="宋体" w:cs="黑体" w:hint="eastAsia"/>
          <w:color w:val="000000"/>
          <w:sz w:val="24"/>
          <w:highlight w:val="none"/>
        </w:rPr>
        <w:t>账户</w:t>
      </w:r>
      <w:r>
        <w:rPr>
          <w:rFonts w:ascii="宋体" w:eastAsia="宋体" w:hAnsi="宋体" w:cs="黑体" w:hint="eastAsia"/>
          <w:color w:val="000000"/>
          <w:sz w:val="24"/>
          <w:highlight w:val="none"/>
          <w:lang w:val="en-US" w:eastAsia="zh-CN"/>
        </w:rPr>
        <w:t>中（以下简称“授权指定账户”）</w:t>
      </w:r>
      <w:r>
        <w:rPr>
          <w:rFonts w:ascii="宋体" w:eastAsia="宋体" w:hAnsi="宋体" w:cs="黑体" w:hint="eastAsia"/>
          <w:color w:val="000000"/>
          <w:sz w:val="24"/>
          <w:highlight w:val="none"/>
        </w:rPr>
        <w:t>存入足额的资金以确保账户余额大于或等于认/申购金额。</w:t>
      </w:r>
    </w:p>
    <w:p w14:paraId="15AC8A4F">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b/>
          <w:bCs/>
          <w:color w:val="000000"/>
          <w:sz w:val="24"/>
          <w:highlight w:val="none"/>
          <w:lang w:val="en-US" w:eastAsia="zh-CN"/>
        </w:rPr>
        <w:t>投资者</w:t>
      </w:r>
      <w:r>
        <w:rPr>
          <w:rFonts w:ascii="宋体" w:eastAsia="宋体" w:hAnsi="宋体" w:cs="黑体" w:hint="eastAsia"/>
          <w:b/>
          <w:bCs/>
          <w:color w:val="000000"/>
          <w:sz w:val="24"/>
          <w:highlight w:val="none"/>
        </w:rPr>
        <w:t>在此确认</w:t>
      </w:r>
      <w:r>
        <w:rPr>
          <w:rFonts w:ascii="宋体" w:eastAsia="宋体" w:hAnsi="宋体" w:cs="黑体" w:hint="eastAsia"/>
          <w:b/>
          <w:bCs/>
          <w:color w:val="000000"/>
          <w:sz w:val="24"/>
          <w:highlight w:val="none"/>
          <w:lang w:val="en-US" w:eastAsia="zh-CN"/>
        </w:rPr>
        <w:t>销售机构</w:t>
      </w:r>
      <w:r>
        <w:rPr>
          <w:rFonts w:ascii="宋体" w:eastAsia="宋体" w:hAnsi="宋体" w:cs="黑体" w:hint="eastAsia"/>
          <w:b/>
          <w:bCs/>
          <w:color w:val="000000"/>
          <w:sz w:val="24"/>
          <w:highlight w:val="none"/>
        </w:rPr>
        <w:t>的系统记录以及录音、录像构成对</w:t>
      </w:r>
      <w:r>
        <w:rPr>
          <w:rFonts w:ascii="宋体" w:eastAsia="宋体" w:hAnsi="宋体" w:cs="黑体" w:hint="eastAsia"/>
          <w:b/>
          <w:bCs/>
          <w:color w:val="000000"/>
          <w:sz w:val="24"/>
          <w:highlight w:val="none"/>
          <w:lang w:val="en-US" w:eastAsia="zh-CN"/>
        </w:rPr>
        <w:t>投资者</w:t>
      </w:r>
      <w:r>
        <w:rPr>
          <w:rFonts w:ascii="宋体" w:eastAsia="宋体" w:hAnsi="宋体" w:cs="黑体" w:hint="eastAsia"/>
          <w:b/>
          <w:bCs/>
          <w:color w:val="000000"/>
          <w:sz w:val="24"/>
          <w:highlight w:val="none"/>
        </w:rPr>
        <w:t>操作行为（包括但不限于购买、赎回、撤单）的有效证据，并且在</w:t>
      </w:r>
      <w:r>
        <w:rPr>
          <w:rFonts w:ascii="宋体" w:eastAsia="宋体" w:hAnsi="宋体" w:cs="黑体" w:hint="eastAsia"/>
          <w:b/>
          <w:bCs/>
          <w:color w:val="000000"/>
          <w:sz w:val="24"/>
          <w:highlight w:val="none"/>
          <w:lang w:val="en-US" w:eastAsia="zh-CN"/>
        </w:rPr>
        <w:t>双</w:t>
      </w:r>
      <w:r>
        <w:rPr>
          <w:rFonts w:ascii="宋体" w:eastAsia="宋体" w:hAnsi="宋体" w:cs="黑体" w:hint="eastAsia"/>
          <w:b/>
          <w:bCs/>
          <w:color w:val="000000"/>
          <w:sz w:val="24"/>
          <w:highlight w:val="none"/>
        </w:rPr>
        <w:t>方发生争议时可以作为合法有效的证据使用</w:t>
      </w:r>
      <w:r>
        <w:rPr>
          <w:rFonts w:ascii="宋体" w:eastAsia="宋体" w:hAnsi="宋体" w:cs="黑体" w:hint="eastAsia"/>
          <w:color w:val="000000"/>
          <w:sz w:val="24"/>
          <w:highlight w:val="none"/>
          <w:lang w:eastAsia="zh-CN"/>
        </w:rPr>
        <w:t>。</w:t>
      </w:r>
    </w:p>
    <w:p w14:paraId="72ACE5D9">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因有权机关依法采取强制措施导致理财份额、理财账户、授权指定账户被冻结或扣划的，由此产生的后果由投资者自行承担；但因销售机构故意或重大过失造成投资者损失的，销售机构仍应依法承担相应责任。 </w:t>
      </w:r>
    </w:p>
    <w:p w14:paraId="7684D4E5">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 xml:space="preserve">在本理财计划存续期内，如有权机关要求销售机构配合对投资者理财份额、理财账户、授权指定账户进行查封、冻结或扣划的，销售机构有权根据实际情况依法采取相应措施。因配合有权机关依法采取前述措施产生的后果，销售机构不承担责任；但因销售机构故意或重大过失造成投资者损失的，销售机构仍应依法承担相应责任。 </w:t>
      </w:r>
    </w:p>
    <w:p w14:paraId="7984E895">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本协议终止前，投资者不得将授权指定账户销户。若发生因投资者注销授权指定账户造成理财计划无法正常兑付的，由此产生的后果由投资者自行承担；但因销售机构故意或重大过失造成投资者损失的，销售机构仍应依法承担相应责任。</w:t>
      </w:r>
    </w:p>
    <w:p w14:paraId="17E32713">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 xml:space="preserve">投资者应确保其提供的所有资料真实、完整、合法、有效，如果有任何变更，投资者应及时通知销售机构并办理变更手续。如因投资者未及时通知销售机构并办理相应的变更手续，由此导致的后果由投资者自行承担；但因销售机构故意或重大过失造成投资者损失的，销售机构仍应依法承担相应责任。 </w:t>
      </w:r>
    </w:p>
    <w:p w14:paraId="76F36E12">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lang w:val="en-US" w:eastAsia="zh-CN"/>
        </w:rPr>
        <w:t>投资者对因签署、履行本协议所知悉且销售机构已明确提示属于保密范围的销售机构业务资料及非公开信息负有保密义务，未经销售机构书面许可，不得向任何组织、个人提供或泄露，但法律、法规另有规定的除外。</w:t>
      </w:r>
    </w:p>
    <w:p w14:paraId="4AFF4768">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rPr>
        <w:t>投资者进行投资时，应严格遵守反洗钱相关法规的规定，切实履行反洗钱及反恐怖融资义务。</w:t>
      </w:r>
    </w:p>
    <w:p w14:paraId="0C72CC84">
      <w:pPr>
        <w:widowControl/>
        <w:numPr>
          <w:ilvl w:val="0"/>
          <w:numId w:val="79"/>
        </w:numPr>
        <w:spacing w:line="360" w:lineRule="auto"/>
        <w:ind w:left="0" w:firstLine="420" w:leftChars="0" w:firstLineChars="0"/>
        <w:contextualSpacing/>
        <w:outlineLvl w:val="2"/>
        <w:rPr>
          <w:rFonts w:ascii="宋体" w:eastAsia="宋体" w:hAnsi="宋体" w:cs="黑体" w:hint="eastAsia"/>
          <w:b/>
          <w:bCs/>
          <w:sz w:val="24"/>
          <w:highlight w:val="none"/>
          <w:lang w:val="en-US" w:eastAsia="zh-CN"/>
        </w:rPr>
      </w:pPr>
      <w:r>
        <w:rPr>
          <w:rFonts w:ascii="宋体" w:eastAsia="宋体" w:hAnsi="宋体" w:cs="黑体" w:hint="eastAsia"/>
          <w:b/>
          <w:bCs/>
          <w:color w:val="000000"/>
          <w:sz w:val="24"/>
          <w:highlight w:val="none"/>
          <w:lang w:val="en-US" w:eastAsia="zh-CN"/>
        </w:rPr>
        <w:t>投资者个人信息授权</w:t>
      </w:r>
    </w:p>
    <w:p w14:paraId="559D72D5">
      <w:pPr>
        <w:widowControl/>
        <w:numPr>
          <w:ilvl w:val="0"/>
          <w:numId w:val="0"/>
        </w:numPr>
        <w:spacing w:line="360" w:lineRule="auto"/>
        <w:ind w:left="0" w:firstLine="480" w:leftChars="0" w:firstLineChars="200"/>
        <w:contextualSpacing/>
        <w:rPr>
          <w:rFonts w:ascii="宋体" w:eastAsia="宋体" w:hAnsi="宋体" w:cs="黑体" w:hint="eastAsia"/>
          <w:b/>
          <w:bCs/>
          <w:sz w:val="24"/>
          <w:highlight w:val="none"/>
          <w:lang w:val="en-US" w:eastAsia="zh-CN"/>
        </w:rPr>
      </w:pPr>
      <w:r>
        <w:rPr>
          <w:rFonts w:ascii="宋体" w:eastAsia="宋体" w:hAnsi="宋体" w:cs="黑体" w:hint="eastAsia"/>
          <w:b/>
          <w:bCs/>
          <w:color w:val="000000"/>
          <w:sz w:val="24"/>
          <w:highlight w:val="none"/>
          <w:lang w:val="en-US" w:eastAsia="zh-CN"/>
        </w:rPr>
        <w:t>基于销售机构履行本协议、进行服务管理和风险管理、报送监管信息等需要，履行反洗钱、投资者资质审核和销售适当性等法律法规和监管要求的义务，投资者在此同意并授权销售机构在业务办理或履行过程中按照合法、正当、必要原则收集、存储、使用、加工、传输投资者个人信息，处理范围限于实现前述目的所必需的信息，包括个人身份信息、联络方式、财产信息、账户信息、风险偏好与投资目标及法律法规规定的其他必要信息。</w:t>
      </w:r>
    </w:p>
    <w:p w14:paraId="4969CC2B">
      <w:pPr>
        <w:widowControl/>
        <w:numPr>
          <w:ilvl w:val="0"/>
          <w:numId w:val="79"/>
        </w:numPr>
        <w:spacing w:line="360" w:lineRule="auto"/>
        <w:ind w:left="0" w:firstLine="420" w:leftChars="0" w:firstLineChars="0"/>
        <w:contextualSpacing/>
        <w:outlineLvl w:val="2"/>
        <w:rPr>
          <w:rFonts w:ascii="宋体" w:eastAsia="宋体" w:hAnsi="宋体" w:cs="黑体" w:hint="eastAsia"/>
          <w:b/>
          <w:bCs/>
          <w:sz w:val="24"/>
          <w:highlight w:val="none"/>
          <w:lang w:val="en-US" w:eastAsia="zh-CN"/>
        </w:rPr>
      </w:pPr>
      <w:r>
        <w:rPr>
          <w:rFonts w:ascii="宋体" w:eastAsia="宋体" w:hAnsi="宋体" w:cs="黑体" w:hint="eastAsia"/>
          <w:b/>
          <w:bCs/>
          <w:color w:val="000000"/>
          <w:sz w:val="24"/>
          <w:highlight w:val="none"/>
          <w:lang w:val="en-US" w:eastAsia="zh-CN"/>
        </w:rPr>
        <w:t>投</w:t>
      </w:r>
      <w:r>
        <w:rPr>
          <w:rFonts w:ascii="宋体" w:hAnsi="宋体" w:hint="eastAsia"/>
          <w:b/>
          <w:bCs/>
          <w:color w:val="000000"/>
          <w:sz w:val="24"/>
          <w:highlight w:val="none"/>
        </w:rPr>
        <w:t>资者同意关于杭银理财发行且被评定为中高风险及以上的理财计划，可通过经杭银理财认可的销售渠道（含线上渠道和线下渠道等）进行交易。如通过线上渠道办理，投资者知晓并确认自身对于上述理财计划的特性及风险有充分的了解与判断。如销售机构有相关规定的，则应以销售机构的要求为准。</w:t>
      </w:r>
    </w:p>
    <w:p w14:paraId="023D529E">
      <w:pPr>
        <w:widowControl/>
        <w:numPr>
          <w:ilvl w:val="0"/>
          <w:numId w:val="0"/>
        </w:numPr>
        <w:spacing w:line="360" w:lineRule="auto"/>
        <w:ind w:left="0" w:firstLine="480" w:leftChars="0" w:firstLineChars="200"/>
        <w:contextualSpacing/>
        <w:rPr>
          <w:rFonts w:ascii="宋体" w:eastAsia="宋体" w:hAnsi="宋体" w:cs="黑体" w:hint="default"/>
          <w:b/>
          <w:bCs/>
          <w:sz w:val="24"/>
          <w:highlight w:val="none"/>
          <w:lang w:val="en-US" w:eastAsia="zh-CN"/>
        </w:rPr>
      </w:pPr>
    </w:p>
    <w:p w14:paraId="4851454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第三条 </w:t>
      </w:r>
      <w:r>
        <w:rPr>
          <w:rFonts w:ascii="Calibri" w:eastAsia="宋体" w:hAnsi="Calibri" w:cs="黑体" w:hint="eastAsia"/>
          <w:b/>
          <w:bCs/>
          <w:color w:val="000000"/>
          <w:sz w:val="24"/>
          <w:highlight w:val="none"/>
          <w:lang w:val="en-US" w:eastAsia="zh-CN"/>
        </w:rPr>
        <w:t>销售机构的权利与义务</w:t>
      </w:r>
    </w:p>
    <w:p w14:paraId="00154038">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对拟销售的理财计划开展尽职调查，承担审批职责，并纳入本机构统一专门名单管理，不得仅以管理人相关产品资料或其出具意见作为审批依据。销售机构应当根据本机构的方式和方法，独立、审慎地对代理销售的理财计划进行销售评级。销售评级与管理人产品评级结果不一致的，销售机构应当采用对应较高风险等级的评级结果并予以披露。</w:t>
      </w:r>
    </w:p>
    <w:p w14:paraId="3AC505E7">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b/>
          <w:bCs/>
          <w:color w:val="000000"/>
          <w:sz w:val="24"/>
          <w:highlight w:val="none"/>
          <w:lang w:val="en-US" w:eastAsia="zh-CN"/>
        </w:rPr>
        <w:t>代理销售机构非本计划的发行、管理机构，对本计划的业绩不承担任何保证和其他经济责任，不承担本计划的投资和兑付管理责任</w:t>
      </w:r>
      <w:r>
        <w:rPr>
          <w:rFonts w:ascii="宋体" w:eastAsia="宋体" w:hAnsi="宋体" w:cs="黑体" w:hint="eastAsia"/>
          <w:color w:val="000000"/>
          <w:sz w:val="24"/>
          <w:highlight w:val="none"/>
          <w:lang w:val="en-US" w:eastAsia="zh-CN"/>
        </w:rPr>
        <w:t>。</w:t>
      </w:r>
    </w:p>
    <w:p w14:paraId="6899D8A6">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both"/>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销售机构应定期对购买其代理销售的理财计划的普通投资者进行有效风险承受能力评估，并保证向投资者推介及销售与其风险承受能力匹配的产品。</w:t>
      </w:r>
    </w:p>
    <w:p w14:paraId="2444FB07">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对于通过营业网点向非机构投资者销售理财计划的，销售机构应按照监管规定实施理财计划销售专区管理，对销售专区设置明显标识，并在销售专区内对每只理财计划销售过程进行录音录像。除非与非机构投资者当面书面约定，评级为四级以上理财计划的销售，应当在营业网点进行。</w:t>
      </w:r>
    </w:p>
    <w:p w14:paraId="4480DD03">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both"/>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销售机构不得擅自使用未经管理人授权或审核同意的理财计划宣传推介材料，在全国银行业理财信息登记系统对理财计划进行登记并获得登记编码前，不得发布理财计划宣传推介材料或办理理财计划销售业务。</w:t>
      </w:r>
    </w:p>
    <w:p w14:paraId="611677A1">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销售机构应建立健全上岗资格、持续培训、信息公示与查询核实等制度并有效执行。未经销售机构进行上岗资格认定并签订劳动合同，任何人员不得从事理财计划销售业务活动。</w:t>
      </w:r>
    </w:p>
    <w:p w14:paraId="0082E096">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销售机构应对所有销售人员信息进行登记和公示。销售人员在向投资者宣传销售理财计划前进行自我介绍并告知信息查询和核实渠道，便于投资者查询核实，防止伪冒身份和虚假宣传。</w:t>
      </w:r>
    </w:p>
    <w:p w14:paraId="1976CB41">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销售机构对投资者负有信息保密义务，未经投资者书面许可，销售机构不得向任何组织、个人提供或泄露与投资者有关的业务资料及信息，但法律、法规、监管机构另有规定的除外。</w:t>
      </w:r>
    </w:p>
    <w:p w14:paraId="4D2D2279">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销售机构应按照法律法规、监管规定、理财计划合同的约定收取销售费用，并如实核算、记账。未经载明，不得对不同投资者适用不同费率。</w:t>
      </w:r>
    </w:p>
    <w:p w14:paraId="0A5BA97E">
      <w:pPr>
        <w:keepNext w:val="0"/>
        <w:keepLines w:val="0"/>
        <w:pageBreakBefore w:val="0"/>
        <w:widowControl/>
        <w:numPr>
          <w:ilvl w:val="0"/>
          <w:numId w:val="74"/>
        </w:numPr>
        <w:kinsoku/>
        <w:wordWrap/>
        <w:overflowPunct/>
        <w:topLinePunct w:val="0"/>
        <w:autoSpaceDE/>
        <w:autoSpaceDN/>
        <w:bidi w:val="0"/>
        <w:adjustRightInd/>
        <w:snapToGrid/>
        <w:spacing w:line="360" w:lineRule="auto"/>
        <w:ind w:firstLine="42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理财计划销售结算资金属于理财计划投资者，销售机构不得挪用理财计划销售结算资金或将理财计划销售结算资金归入自有资产。</w:t>
      </w:r>
    </w:p>
    <w:p w14:paraId="645EE0FC">
      <w:pPr>
        <w:keepNext w:val="0"/>
        <w:keepLines w:val="0"/>
        <w:pageBreakBefore w:val="0"/>
        <w:widowControl/>
        <w:numPr>
          <w:ilvl w:val="0"/>
          <w:numId w:val="74"/>
        </w:numPr>
        <w:kinsoku/>
        <w:wordWrap/>
        <w:overflowPunct/>
        <w:topLinePunct w:val="0"/>
        <w:autoSpaceDE/>
        <w:autoSpaceDN/>
        <w:bidi w:val="0"/>
        <w:adjustRightInd/>
        <w:snapToGrid/>
        <w:spacing w:line="360" w:lineRule="auto"/>
        <w:ind w:firstLine="42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销售机构应遵守相关法律、法规、监管规定及理财计划合同约定，诚实守信、勤勉尽责，向购买理财计划的投资者充分传递管理人披露的产品相关信息并进行充分的风险揭示。</w:t>
      </w:r>
    </w:p>
    <w:p w14:paraId="5984CCB6">
      <w:pPr>
        <w:keepNext w:val="0"/>
        <w:keepLines w:val="0"/>
        <w:pageBreakBefore w:val="0"/>
        <w:widowControl/>
        <w:numPr>
          <w:ilvl w:val="0"/>
          <w:numId w:val="74"/>
        </w:numPr>
        <w:kinsoku/>
        <w:wordWrap/>
        <w:overflowPunct/>
        <w:topLinePunct w:val="0"/>
        <w:autoSpaceDE/>
        <w:autoSpaceDN/>
        <w:bidi w:val="0"/>
        <w:adjustRightInd/>
        <w:snapToGrid/>
        <w:spacing w:line="360" w:lineRule="auto"/>
        <w:ind w:firstLine="42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销售机构应当充分利用科技手段，加强对伪冒网站、伪冒产品等监测，有效防范各类欺诈风险。</w:t>
      </w:r>
    </w:p>
    <w:p w14:paraId="4C6036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82" w:firstLine="0"/>
        <w:contextualSpacing/>
        <w:jc w:val="left"/>
        <w:textAlignment w:val="auto"/>
        <w:rPr>
          <w:rFonts w:ascii="宋体" w:eastAsia="宋体" w:hAnsi="宋体" w:cs="黑体" w:hint="eastAsia"/>
          <w:b/>
          <w:bCs/>
          <w:sz w:val="24"/>
          <w:highlight w:val="none"/>
          <w:lang w:val="en-US" w:eastAsia="zh-CN"/>
        </w:rPr>
      </w:pPr>
    </w:p>
    <w:p w14:paraId="025A3CB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第四条 </w:t>
      </w:r>
      <w:r>
        <w:rPr>
          <w:rFonts w:ascii="Calibri" w:eastAsia="宋体" w:hAnsi="Calibri" w:cs="黑体" w:hint="eastAsia"/>
          <w:b/>
          <w:bCs/>
          <w:color w:val="000000"/>
          <w:sz w:val="24"/>
          <w:highlight w:val="none"/>
          <w:lang w:val="en-US" w:eastAsia="zh-CN"/>
        </w:rPr>
        <w:t>理财计划认（申）购、赎回及终止</w:t>
      </w:r>
    </w:p>
    <w:p w14:paraId="503B0F66">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 xml:space="preserve">理财计划认/申购办理流程：参照投资者权益须知约定。 </w:t>
      </w:r>
    </w:p>
    <w:p w14:paraId="7CFEA65C">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理财计划认/申购确认：管理人根据</w:t>
      </w:r>
      <w:r>
        <w:rPr>
          <w:rFonts w:ascii="宋体" w:eastAsia="宋体" w:hAnsi="宋体" w:cs="黑体" w:hint="eastAsia"/>
          <w:color w:val="000000"/>
          <w:sz w:val="24"/>
          <w:highlight w:val="none"/>
          <w:lang w:eastAsia="zh-CN"/>
        </w:rPr>
        <w:t>销售</w:t>
      </w:r>
      <w:r>
        <w:rPr>
          <w:rFonts w:ascii="宋体" w:eastAsia="宋体" w:hAnsi="宋体" w:cs="黑体" w:hint="eastAsia"/>
          <w:color w:val="000000"/>
          <w:sz w:val="24"/>
          <w:highlight w:val="none"/>
        </w:rPr>
        <w:t>渠道提供的交易信息及资金划付对投资者相应认/申购进行确认。</w:t>
      </w:r>
    </w:p>
    <w:p w14:paraId="07275F71">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理财计划不成立：若在募集期结束日，本理财计划发行规模未能达到对应期次的理财计划产品说明书规定的要求，则本理财计划不成立，</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 xml:space="preserve">将按对应期次的理财计划产品说明书约定条款向投资者进行公告，并将及时解除对投资者授权指定账户中认购资金的冻结。 </w:t>
      </w:r>
    </w:p>
    <w:p w14:paraId="3B08A1FA">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 xml:space="preserve">理财计划投资品种、投资起点金额、收益支付方式：参照对应期次的理财计划产品说明书中的条款约定。 </w:t>
      </w:r>
    </w:p>
    <w:p w14:paraId="7BD45569">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理财计划赎回/终止兑付：在正常情况下，管理人和</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将按照对应期次的理财计划产品说明书相关约定，将兑付款项划入投资者授权指定账户。如出现不可抗力、市场停市或管制等异常事件、交易对手违约或其他非管理人主导、仅能被动接受的外部事件或客观情形，导致理财计划无法按约定日清算时，或根据</w:t>
      </w:r>
      <w:r>
        <w:rPr>
          <w:rFonts w:ascii="宋体" w:eastAsia="宋体" w:hAnsi="宋体" w:cs="黑体" w:hint="eastAsia"/>
          <w:color w:val="000000"/>
          <w:sz w:val="24"/>
          <w:highlight w:val="none"/>
          <w:lang w:val="en-US" w:eastAsia="zh-CN"/>
        </w:rPr>
        <w:t>理财计划</w:t>
      </w:r>
      <w:r>
        <w:rPr>
          <w:rFonts w:ascii="宋体" w:eastAsia="宋体" w:hAnsi="宋体" w:cs="黑体" w:hint="eastAsia"/>
          <w:color w:val="000000"/>
          <w:sz w:val="24"/>
          <w:highlight w:val="none"/>
        </w:rPr>
        <w:t>产品说明书约定管理人对理财计划进行延期或转换时，</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将于原约定清算日前通过信息披露途径及时通知，并根据实际情况进行后续处理。</w:t>
      </w:r>
    </w:p>
    <w:p w14:paraId="033C4D42">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rPr>
        <w:t>资金清算：理财计划终止或份额赎回时，管理人按理财计划合同约定划付至</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清算账户后，由</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向投资者划付投资者应得资金。如因投资者清算账户余额不足，或</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未及时足额划付资金，或</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清算账户内资金被依法冻结或扣划，或</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清算账户处于被挂失、冻结、注销或其他非正常状态等原因而导致交易失败</w:t>
      </w:r>
      <w:r>
        <w:rPr>
          <w:rFonts w:ascii="宋体" w:eastAsia="宋体" w:hAnsi="宋体" w:cs="黑体" w:hint="eastAsia"/>
          <w:color w:val="000000"/>
          <w:sz w:val="24"/>
          <w:highlight w:val="none"/>
          <w:lang w:eastAsia="zh-CN"/>
        </w:rPr>
        <w:t>，</w:t>
      </w:r>
      <w:r>
        <w:rPr>
          <w:rFonts w:ascii="宋体" w:eastAsia="宋体" w:hAnsi="宋体" w:cs="黑体" w:hint="eastAsia"/>
          <w:color w:val="000000"/>
          <w:sz w:val="24"/>
          <w:highlight w:val="none"/>
        </w:rPr>
        <w:t>对于因上述原因导致的交易失败可能带来的任何损失及预期损失，投资者须自行承担或向</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依法主张。</w:t>
      </w:r>
    </w:p>
    <w:p w14:paraId="48D067BC">
      <w:pPr>
        <w:keepNext w:val="0"/>
        <w:keepLines w:val="0"/>
        <w:pageBreakBefore w:val="0"/>
        <w:widowControl/>
        <w:numPr>
          <w:ilvl w:val="0"/>
          <w:numId w:val="0"/>
        </w:numPr>
        <w:kinsoku/>
        <w:wordWrap/>
        <w:overflowPunct/>
        <w:topLinePunct w:val="0"/>
        <w:autoSpaceDE/>
        <w:autoSpaceDN/>
        <w:bidi w:val="0"/>
        <w:adjustRightInd/>
        <w:snapToGrid/>
        <w:spacing w:line="360" w:lineRule="auto"/>
        <w:ind w:left="178" w:firstLine="0" w:leftChars="85" w:firstLineChars="0"/>
        <w:contextualSpacing/>
        <w:textAlignment w:val="auto"/>
        <w:rPr>
          <w:rFonts w:ascii="宋体" w:eastAsia="宋体" w:hAnsi="宋体" w:cs="黑体" w:hint="eastAsia"/>
          <w:b/>
          <w:bCs/>
          <w:sz w:val="24"/>
          <w:highlight w:val="none"/>
          <w:lang w:val="en-US" w:eastAsia="zh-CN"/>
        </w:rPr>
      </w:pPr>
    </w:p>
    <w:p w14:paraId="6F0121A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第五条 </w:t>
      </w:r>
      <w:r>
        <w:rPr>
          <w:rFonts w:ascii="Calibri" w:eastAsia="宋体" w:hAnsi="Calibri" w:cs="黑体" w:hint="eastAsia"/>
          <w:b/>
          <w:bCs/>
          <w:color w:val="000000"/>
          <w:sz w:val="24"/>
          <w:highlight w:val="none"/>
          <w:lang w:val="en-US" w:eastAsia="zh-CN"/>
        </w:rPr>
        <w:t>违约责任及免责条款</w:t>
      </w:r>
    </w:p>
    <w:p w14:paraId="0680B3B9">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若因投资者原因导致司法或行政等有权机关采取强制措施对其理财本金、收益进行部分或全部扣划的，管理人或销售机构有权根据产品运作和法律法规要求对相应理财份额办理部分或全部提前终止或采取其他必要处置措施，本协议相应终止。因前述情形产生的损失及相关费用由投资者承担；理财收益按照实际运作情况计算和分配，不计付存款利息。</w:t>
      </w:r>
    </w:p>
    <w:p w14:paraId="44A18EB6">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投资者违反本协议第二条内容，应承担相应违约责任。销售机构对由此导致的理财业务交易延误、中断、终止及投资者损失不承担任何责任，并有权终止双方理财业务关系。因</w:t>
      </w:r>
      <w:r>
        <w:rPr>
          <w:rFonts w:ascii="宋体" w:eastAsia="宋体" w:hAnsi="宋体" w:cs="黑体" w:hint="eastAsia"/>
          <w:color w:val="000000"/>
          <w:sz w:val="24"/>
          <w:highlight w:val="none"/>
          <w:lang w:eastAsia="zh-CN"/>
        </w:rPr>
        <w:t>投资者</w:t>
      </w:r>
      <w:r>
        <w:rPr>
          <w:rFonts w:ascii="宋体" w:eastAsia="宋体" w:hAnsi="宋体" w:cs="黑体" w:hint="eastAsia"/>
          <w:color w:val="000000"/>
          <w:sz w:val="24"/>
          <w:highlight w:val="none"/>
        </w:rPr>
        <w:t>违反双方约定给</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或全体投资者造成损失的，</w:t>
      </w:r>
      <w:r>
        <w:rPr>
          <w:rFonts w:ascii="宋体" w:eastAsia="宋体" w:hAnsi="宋体" w:cs="黑体" w:hint="eastAsia"/>
          <w:color w:val="000000"/>
          <w:sz w:val="24"/>
          <w:highlight w:val="none"/>
          <w:lang w:eastAsia="zh-CN"/>
        </w:rPr>
        <w:t>投资者</w:t>
      </w:r>
      <w:r>
        <w:rPr>
          <w:rFonts w:ascii="宋体" w:eastAsia="宋体" w:hAnsi="宋体" w:cs="黑体" w:hint="eastAsia"/>
          <w:color w:val="000000"/>
          <w:sz w:val="24"/>
          <w:highlight w:val="none"/>
        </w:rPr>
        <w:t>应承担相应的赔偿责任。</w:t>
      </w:r>
    </w:p>
    <w:p w14:paraId="379F9D11">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若由于</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过错导致理财计划资产发生损失，</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应按其过错承担赔偿责任，</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赔偿的款项计入理财计划的资产和收益。</w:t>
      </w:r>
    </w:p>
    <w:p w14:paraId="096E49E8">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由于地震、火灾、战争等不可抗力或突发重大卫生公共事件等不可预测事件造成的交易中断、延误等风险及损失，</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不承担责任；但</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应在上述情况发生</w:t>
      </w:r>
      <w:r>
        <w:rPr>
          <w:rFonts w:ascii="宋体" w:eastAsia="宋体" w:hAnsi="宋体" w:cs="黑体" w:hint="eastAsia"/>
          <w:color w:val="000000"/>
          <w:sz w:val="24"/>
          <w:highlight w:val="none"/>
          <w:lang w:eastAsia="zh-CN"/>
        </w:rPr>
        <w:t>后</w:t>
      </w:r>
      <w:r>
        <w:rPr>
          <w:rFonts w:ascii="宋体" w:eastAsia="宋体" w:hAnsi="宋体" w:cs="黑体" w:hint="eastAsia"/>
          <w:color w:val="000000"/>
          <w:sz w:val="24"/>
          <w:highlight w:val="none"/>
        </w:rPr>
        <w:t>在条件允许时及时通知</w:t>
      </w:r>
      <w:r>
        <w:rPr>
          <w:rFonts w:ascii="宋体" w:eastAsia="宋体" w:hAnsi="宋体" w:cs="黑体" w:hint="eastAsia"/>
          <w:color w:val="000000"/>
          <w:sz w:val="24"/>
          <w:highlight w:val="none"/>
          <w:lang w:eastAsia="zh-CN"/>
        </w:rPr>
        <w:t>投资者</w:t>
      </w:r>
      <w:r>
        <w:rPr>
          <w:rFonts w:ascii="宋体" w:eastAsia="宋体" w:hAnsi="宋体" w:cs="黑体" w:hint="eastAsia"/>
          <w:color w:val="000000"/>
          <w:sz w:val="24"/>
          <w:highlight w:val="none"/>
        </w:rPr>
        <w:t>并采取一切必要且可能的措施阻止损失扩大。</w:t>
      </w:r>
    </w:p>
    <w:p w14:paraId="13CA19E3">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因国家有关法律、法规、规章、政策的修改或新的法律、法规、规章、政策颁布以及紧急措施的出台导致的风险及损失，</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不承担责任。</w:t>
      </w:r>
    </w:p>
    <w:p w14:paraId="0BDBA9D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ascii="宋体" w:eastAsia="宋体" w:hAnsi="宋体" w:cs="黑体" w:hint="eastAsia"/>
          <w:b/>
          <w:bCs/>
          <w:sz w:val="24"/>
          <w:highlight w:val="none"/>
        </w:rPr>
      </w:pPr>
    </w:p>
    <w:p w14:paraId="5F5A42F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第六条 </w:t>
      </w:r>
      <w:r>
        <w:rPr>
          <w:rFonts w:ascii="Calibri" w:eastAsia="宋体" w:hAnsi="Calibri" w:cs="黑体" w:hint="eastAsia"/>
          <w:b/>
          <w:bCs/>
          <w:color w:val="000000"/>
          <w:sz w:val="24"/>
          <w:highlight w:val="none"/>
          <w:lang w:val="en-US" w:eastAsia="zh-CN"/>
        </w:rPr>
        <w:t>适用法律与争议解决</w:t>
      </w:r>
    </w:p>
    <w:p w14:paraId="4389C3D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本协议适用中华人民共和国（仅为明确本合同适用法律规则，不含香港特别行政区、澳门特别行政区及中国台湾地区）的法律和行政法规。本协议项下的及与之有关的一切争议，投资者与销售机构双方应首先协商解决，协商不成的，任何一方均有权向被告住所地有管辖权的人民法院提起诉讼。诉讼期间，未涉及争议的条款仍需继续履行。</w:t>
      </w:r>
    </w:p>
    <w:p w14:paraId="5206CE7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80" w:leftChars="0" w:firstLineChars="200"/>
        <w:contextualSpacing/>
        <w:textAlignment w:val="auto"/>
        <w:rPr>
          <w:rFonts w:ascii="宋体" w:eastAsia="宋体" w:hAnsi="宋体" w:cs="黑体" w:hint="eastAsia"/>
          <w:b/>
          <w:bCs/>
          <w:sz w:val="24"/>
          <w:highlight w:val="none"/>
          <w:lang w:val="en-US" w:eastAsia="zh-CN"/>
        </w:rPr>
      </w:pPr>
    </w:p>
    <w:p w14:paraId="5BD313C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第七条 </w:t>
      </w:r>
      <w:r>
        <w:rPr>
          <w:rFonts w:ascii="Calibri" w:eastAsia="宋体" w:hAnsi="Calibri" w:cs="黑体" w:hint="eastAsia"/>
          <w:b/>
          <w:bCs/>
          <w:color w:val="000000"/>
          <w:sz w:val="24"/>
          <w:highlight w:val="none"/>
          <w:lang w:val="en-US" w:eastAsia="zh-CN"/>
        </w:rPr>
        <w:t>协议生效和终止</w:t>
      </w:r>
    </w:p>
    <w:p w14:paraId="6352CCE1">
      <w:pPr>
        <w:keepNext w:val="0"/>
        <w:keepLines w:val="0"/>
        <w:pageBreakBefore w:val="0"/>
        <w:widowControl/>
        <w:numPr>
          <w:ilvl w:val="0"/>
          <w:numId w:val="83"/>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投资者和</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 xml:space="preserve">双方认可本协议可以纸质或电子数据等形式提交、订立或确认。 </w:t>
      </w:r>
    </w:p>
    <w:p w14:paraId="418CF222">
      <w:pPr>
        <w:keepNext w:val="0"/>
        <w:keepLines w:val="0"/>
        <w:pageBreakBefore w:val="0"/>
        <w:widowControl/>
        <w:numPr>
          <w:ilvl w:val="0"/>
          <w:numId w:val="84"/>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本协议书</w:t>
      </w:r>
      <w:r>
        <w:rPr>
          <w:rFonts w:ascii="宋体" w:hAnsi="宋体" w:hint="eastAsia"/>
          <w:color w:val="000000"/>
          <w:sz w:val="24"/>
          <w:highlight w:val="none"/>
        </w:rPr>
        <w:t>以纸质书面形式订立的，自投资者签</w:t>
      </w:r>
      <w:r>
        <w:rPr>
          <w:rFonts w:ascii="宋体" w:hAnsi="宋体" w:hint="eastAsia"/>
          <w:color w:val="000000"/>
          <w:sz w:val="24"/>
          <w:highlight w:val="none"/>
          <w:lang w:val="en-US" w:eastAsia="zh-CN"/>
        </w:rPr>
        <w:t>署（如投资者为个人，应签字；如投资者为机构，应法定代表人或授权代理人签字或盖章并加盖公章或有效授权印章）</w:t>
      </w:r>
      <w:r>
        <w:rPr>
          <w:rFonts w:ascii="宋体" w:hAnsi="宋体" w:hint="eastAsia"/>
          <w:color w:val="000000"/>
          <w:sz w:val="24"/>
          <w:highlight w:val="none"/>
        </w:rPr>
        <w:t>和</w:t>
      </w:r>
      <w:r>
        <w:rPr>
          <w:rFonts w:ascii="宋体" w:hAnsi="宋体" w:hint="eastAsia"/>
          <w:color w:val="000000"/>
          <w:sz w:val="24"/>
          <w:highlight w:val="none"/>
          <w:lang w:eastAsia="zh-CN"/>
        </w:rPr>
        <w:t>销售机构</w:t>
      </w:r>
      <w:r>
        <w:rPr>
          <w:rFonts w:ascii="宋体" w:hAnsi="宋体" w:hint="eastAsia"/>
          <w:color w:val="000000"/>
          <w:sz w:val="24"/>
          <w:highlight w:val="none"/>
        </w:rPr>
        <w:t>签章之后立即生效。协议一式叁份，投资者、管理人和</w:t>
      </w:r>
      <w:r>
        <w:rPr>
          <w:rFonts w:ascii="宋体" w:hAnsi="宋体" w:hint="eastAsia"/>
          <w:color w:val="000000"/>
          <w:sz w:val="24"/>
          <w:highlight w:val="none"/>
          <w:lang w:eastAsia="zh-CN"/>
        </w:rPr>
        <w:t>销售机构</w:t>
      </w:r>
      <w:r>
        <w:rPr>
          <w:rFonts w:ascii="宋体" w:hAnsi="宋体" w:hint="eastAsia"/>
          <w:color w:val="000000"/>
          <w:sz w:val="24"/>
          <w:highlight w:val="none"/>
        </w:rPr>
        <w:t>各执壹份，具有同等法律效力。</w:t>
      </w:r>
    </w:p>
    <w:p w14:paraId="1D1902DD">
      <w:pPr>
        <w:keepNext w:val="0"/>
        <w:keepLines w:val="0"/>
        <w:pageBreakBefore w:val="0"/>
        <w:widowControl/>
        <w:numPr>
          <w:ilvl w:val="0"/>
          <w:numId w:val="84"/>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rPr>
        <w:t>本协议书以数据电文形式订立的，投资者在销售机构的电子银行渠道（包括但不限于网上银行、手机银行或监管机构认可的其他销售渠道）点击购买理财计划，投资者使用的身份认证要素或其他安全措施完成的一切交易应知晓并同意为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14:paraId="7802F3AD">
      <w:pPr>
        <w:keepNext w:val="0"/>
        <w:keepLines w:val="0"/>
        <w:pageBreakBefore w:val="0"/>
        <w:widowControl/>
        <w:numPr>
          <w:ilvl w:val="0"/>
          <w:numId w:val="84"/>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rPr>
        <w:t>投资者和</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双方在本协议及对应期次的理财计划产品说明书项下权利义务履行完毕之日，本协议自动终止。</w:t>
      </w:r>
    </w:p>
    <w:p w14:paraId="5D19E5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firstLine="0"/>
        <w:contextualSpacing/>
        <w:textAlignment w:val="auto"/>
        <w:rPr>
          <w:rFonts w:ascii="宋体" w:eastAsia="宋体" w:hAnsi="宋体" w:cs="黑体" w:hint="eastAsia"/>
          <w:sz w:val="24"/>
          <w:highlight w:val="none"/>
          <w:lang w:val="en-US" w:eastAsia="zh-CN"/>
        </w:rPr>
      </w:pPr>
    </w:p>
    <w:p w14:paraId="59AF7C3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val="0"/>
          <w:sz w:val="24"/>
          <w:highlight w:val="none"/>
          <w:lang w:val="en-US" w:eastAsia="zh-CN"/>
        </w:rPr>
      </w:pPr>
      <w:r>
        <w:rPr>
          <w:rFonts w:eastAsia="宋体" w:cs="黑体" w:hint="eastAsia"/>
          <w:b/>
          <w:bCs w:val="0"/>
          <w:color w:val="000000"/>
          <w:sz w:val="24"/>
          <w:highlight w:val="none"/>
          <w:lang w:val="en-US" w:eastAsia="zh-CN"/>
        </w:rPr>
        <w:t xml:space="preserve">第八条 </w:t>
      </w:r>
      <w:r>
        <w:rPr>
          <w:rFonts w:ascii="Calibri" w:eastAsia="宋体" w:hAnsi="Calibri" w:cs="黑体" w:hint="eastAsia"/>
          <w:b/>
          <w:bCs w:val="0"/>
          <w:color w:val="000000"/>
          <w:sz w:val="24"/>
          <w:highlight w:val="none"/>
          <w:lang w:val="en-US" w:eastAsia="zh-CN"/>
        </w:rPr>
        <w:t xml:space="preserve">附则 </w:t>
      </w:r>
    </w:p>
    <w:p w14:paraId="12E6CF8D">
      <w:pPr>
        <w:keepNext w:val="0"/>
        <w:keepLines w:val="0"/>
        <w:pageBreakBefore w:val="0"/>
        <w:widowControl/>
        <w:numPr>
          <w:ilvl w:val="0"/>
          <w:numId w:val="85"/>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如果投资者与</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之间存在多份理财计划</w:t>
      </w:r>
      <w:r>
        <w:rPr>
          <w:rFonts w:ascii="宋体" w:eastAsia="宋体" w:hAnsi="宋体" w:cs="黑体" w:hint="eastAsia"/>
          <w:color w:val="000000"/>
          <w:sz w:val="24"/>
          <w:highlight w:val="none"/>
          <w:lang w:val="en-US" w:eastAsia="zh-CN"/>
        </w:rPr>
        <w:t>销售</w:t>
      </w:r>
      <w:r>
        <w:rPr>
          <w:rFonts w:ascii="宋体" w:eastAsia="宋体" w:hAnsi="宋体" w:cs="黑体" w:hint="eastAsia"/>
          <w:color w:val="000000"/>
          <w:sz w:val="24"/>
          <w:highlight w:val="none"/>
        </w:rPr>
        <w:t>协议书，则每一协议书分别与其所对应的</w:t>
      </w:r>
      <w:r>
        <w:rPr>
          <w:rFonts w:ascii="宋体" w:eastAsia="宋体" w:hAnsi="宋体" w:cs="黑体" w:hint="eastAsia"/>
          <w:color w:val="000000"/>
          <w:sz w:val="24"/>
          <w:highlight w:val="none"/>
          <w:lang w:val="en-US" w:eastAsia="zh-CN"/>
        </w:rPr>
        <w:t>理财计划</w:t>
      </w:r>
      <w:r>
        <w:rPr>
          <w:rFonts w:ascii="宋体" w:eastAsia="宋体" w:hAnsi="宋体" w:cs="黑体" w:hint="eastAsia"/>
          <w:color w:val="000000"/>
          <w:sz w:val="24"/>
          <w:highlight w:val="none"/>
        </w:rPr>
        <w:t>产品说明书等销售文本单独构成一个理财计划合同，各个合同之间互相独立，每一合同的效力及履行情况均独立于其他合同。</w:t>
      </w:r>
    </w:p>
    <w:p w14:paraId="6A153B28">
      <w:pPr>
        <w:keepNext w:val="0"/>
        <w:keepLines w:val="0"/>
        <w:pageBreakBefore w:val="0"/>
        <w:widowControl/>
        <w:numPr>
          <w:ilvl w:val="0"/>
          <w:numId w:val="85"/>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如果由于任何原因使本合同下的任何条款或内容成为无效或被依法撤销，本合同其他条款或内容的合法性、有效性和可执行性不受影响。</w:t>
      </w:r>
    </w:p>
    <w:p w14:paraId="019EA625">
      <w:pPr>
        <w:keepNext w:val="0"/>
        <w:keepLines w:val="0"/>
        <w:pageBreakBefore w:val="0"/>
        <w:widowControl/>
        <w:numPr>
          <w:ilvl w:val="0"/>
          <w:numId w:val="85"/>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在理财计划存续期内，如因监管政策或法律法规发生变化，在不损害投资者利益的前提下，管理人有权对理财计划合同销售文件进行修订。</w:t>
      </w:r>
    </w:p>
    <w:p w14:paraId="608443A7">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ascii="宋体" w:eastAsia="宋体" w:hAnsi="宋体" w:cs="黑体" w:hint="eastAsia"/>
          <w:sz w:val="24"/>
          <w:highlight w:val="none"/>
        </w:rPr>
      </w:pPr>
    </w:p>
    <w:p w14:paraId="22EB0A4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14:paraId="02092DB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14:paraId="2FB26660">
      <w:pPr>
        <w:widowControl/>
        <w:spacing w:line="360" w:lineRule="auto"/>
        <w:jc w:val="right"/>
        <w:rPr>
          <w:rFonts w:ascii="宋体" w:eastAsia="宋体" w:hAnsi="宋体" w:cs="黑体" w:hint="eastAsia"/>
          <w:b w:val="0"/>
          <w:bCs w:val="0"/>
          <w:sz w:val="24"/>
          <w:szCs w:val="24"/>
          <w:highlight w:val="none"/>
          <w:lang w:val="en-US" w:eastAsia="zh-CN"/>
        </w:rPr>
      </w:pPr>
      <w:r>
        <w:rPr>
          <w:rFonts w:ascii="宋体" w:eastAsia="宋体" w:hAnsi="宋体" w:cs="宋体" w:hint="eastAsia"/>
          <w:color w:val="000000"/>
          <w:kern w:val="0"/>
          <w:sz w:val="24"/>
          <w:szCs w:val="24"/>
          <w:highlight w:val="none"/>
          <w:lang w:val="en-US" w:eastAsia="zh-CN" w:bidi="ar-SA"/>
        </w:rPr>
        <w:t>杭银理财有限责任公司</w:t>
      </w:r>
    </w:p>
    <w:p w14:paraId="723E8F3E">
      <w:pPr>
        <w:rPr>
          <w:rFonts w:ascii="宋体" w:eastAsia="宋体" w:hAnsi="宋体" w:cs="黑体" w:hint="eastAsia"/>
          <w:b w:val="0"/>
          <w:bCs w:val="0"/>
          <w:sz w:val="24"/>
          <w:szCs w:val="24"/>
          <w:highlight w:val="none"/>
          <w:lang w:val="en-US" w:eastAsia="zh-CN"/>
        </w:rPr>
      </w:pPr>
      <w:r>
        <w:rPr>
          <w:rFonts w:ascii="宋体" w:eastAsia="宋体" w:hAnsi="宋体" w:cs="黑体" w:hint="eastAsia"/>
          <w:b w:val="0"/>
          <w:bCs w:val="0"/>
          <w:color w:val="000000"/>
          <w:sz w:val="24"/>
          <w:szCs w:val="24"/>
          <w:highlight w:val="none"/>
          <w:lang w:val="en-US" w:eastAsia="zh-CN"/>
        </w:rPr>
        <w:br w:type="page"/>
      </w:r>
    </w:p>
    <w:p w14:paraId="00E04CD1">
      <w:pPr>
        <w:rPr>
          <w:rFonts w:ascii="宋体" w:eastAsia="宋体" w:hAnsi="宋体" w:cs="黑体" w:hint="default"/>
          <w:b w:val="0"/>
          <w:bCs w:val="0"/>
          <w:sz w:val="24"/>
          <w:szCs w:val="24"/>
          <w:highlight w:val="none"/>
          <w:lang w:val="en-US" w:eastAsia="zh-CN"/>
        </w:rPr>
      </w:pPr>
      <w:r>
        <w:rPr>
          <w:rFonts w:ascii="宋体" w:eastAsia="宋体" w:hAnsi="宋体" w:cs="黑体" w:hint="eastAsia"/>
          <w:b w:val="0"/>
          <w:bCs w:val="0"/>
          <w:color w:val="000000"/>
          <w:sz w:val="24"/>
          <w:szCs w:val="24"/>
          <w:highlight w:val="none"/>
          <w:lang w:val="en-US" w:eastAsia="zh-CN"/>
        </w:rPr>
        <w:t>本页为</w:t>
      </w:r>
      <w:r>
        <w:rPr>
          <w:rFonts w:ascii="宋体" w:eastAsia="宋体" w:hAnsi="宋体" w:cs="黑体" w:hint="eastAsia"/>
          <w:b w:val="0"/>
          <w:bCs w:val="0"/>
          <w:color w:val="000000"/>
          <w:sz w:val="24"/>
          <w:szCs w:val="24"/>
          <w:highlight w:val="none"/>
        </w:rPr>
        <w:t>纸质</w:t>
      </w:r>
      <w:r>
        <w:rPr>
          <w:rFonts w:ascii="宋体" w:eastAsia="宋体" w:hAnsi="宋体" w:cs="黑体" w:hint="eastAsia"/>
          <w:b w:val="0"/>
          <w:bCs w:val="0"/>
          <w:color w:val="000000"/>
          <w:sz w:val="24"/>
          <w:szCs w:val="24"/>
          <w:highlight w:val="none"/>
          <w:lang w:val="en-US" w:eastAsia="zh-CN"/>
        </w:rPr>
        <w:t>形式（如有）销售协议书签章页</w:t>
      </w:r>
    </w:p>
    <w:p w14:paraId="12BBA01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45D66AC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2F57780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7806504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4B41D19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2F5E434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4F34F07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08EF7CE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7B63632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highlight w:val="none"/>
          <w:lang w:eastAsia="zh-CN"/>
        </w:rPr>
      </w:pPr>
      <w:r>
        <w:rPr>
          <w:rFonts w:ascii="宋体" w:eastAsia="宋体" w:hAnsi="宋体" w:cs="黑体" w:hint="eastAsia"/>
          <w:b/>
          <w:bCs/>
          <w:color w:val="000000"/>
          <w:sz w:val="24"/>
          <w:highlight w:val="none"/>
        </w:rPr>
        <w:t>投资者</w:t>
      </w:r>
      <w:r>
        <w:rPr>
          <w:rFonts w:ascii="宋体" w:eastAsia="宋体" w:hAnsi="宋体" w:cs="黑体" w:hint="eastAsia"/>
          <w:b/>
          <w:bCs/>
          <w:color w:val="000000"/>
          <w:sz w:val="24"/>
          <w:highlight w:val="none"/>
          <w:lang w:eastAsia="zh-CN"/>
        </w:rPr>
        <w:t>（</w:t>
      </w:r>
      <w:r>
        <w:rPr>
          <w:rFonts w:ascii="宋体" w:eastAsia="宋体" w:hAnsi="宋体" w:cs="黑体" w:hint="eastAsia"/>
          <w:b/>
          <w:bCs/>
          <w:color w:val="000000"/>
          <w:sz w:val="24"/>
          <w:highlight w:val="none"/>
        </w:rPr>
        <w:t>签字</w:t>
      </w:r>
      <w:r>
        <w:rPr>
          <w:rFonts w:ascii="宋体" w:eastAsia="宋体" w:hAnsi="宋体" w:cs="黑体" w:hint="eastAsia"/>
          <w:b/>
          <w:bCs/>
          <w:color w:val="000000"/>
          <w:sz w:val="24"/>
          <w:highlight w:val="none"/>
          <w:lang w:eastAsia="zh-CN"/>
        </w:rPr>
        <w:t>或签章）</w:t>
      </w:r>
      <w:r>
        <w:rPr>
          <w:rFonts w:ascii="宋体" w:eastAsia="宋体" w:hAnsi="宋体" w:cs="黑体" w:hint="eastAsia"/>
          <w:b/>
          <w:bCs/>
          <w:color w:val="000000"/>
          <w:sz w:val="24"/>
          <w:szCs w:val="24"/>
          <w:highlight w:val="none"/>
          <w:lang w:eastAsia="zh-CN"/>
        </w:rPr>
        <w:t>：</w:t>
      </w:r>
    </w:p>
    <w:p w14:paraId="50E496E6">
      <w:pPr>
        <w:spacing w:before="156" w:beforeLines="50" w:after="156" w:afterLines="50" w:line="360" w:lineRule="auto"/>
        <w:ind w:firstLine="4800" w:firstLineChars="2000"/>
        <w:jc w:val="right"/>
        <w:rPr>
          <w:rFonts w:ascii="Arial" w:hAnsi="Arial" w:hint="eastAsia"/>
          <w:sz w:val="24"/>
          <w:highlight w:val="none"/>
        </w:rPr>
      </w:pPr>
      <w:r>
        <w:rPr>
          <w:rFonts w:ascii="Arial" w:hAnsi="Arial" w:hint="eastAsia"/>
          <w:color w:val="000000"/>
          <w:sz w:val="24"/>
          <w:highlight w:val="none"/>
        </w:rPr>
        <w:t xml:space="preserve">   年   月   日</w:t>
      </w:r>
    </w:p>
    <w:p w14:paraId="643C775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szCs w:val="24"/>
          <w:highlight w:val="none"/>
          <w:lang w:eastAsia="zh-CN"/>
        </w:rPr>
      </w:pPr>
    </w:p>
    <w:p w14:paraId="066BE50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szCs w:val="24"/>
          <w:highlight w:val="none"/>
          <w:lang w:eastAsia="zh-CN"/>
        </w:rPr>
      </w:pPr>
    </w:p>
    <w:p w14:paraId="28D1748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szCs w:val="24"/>
          <w:highlight w:val="none"/>
          <w:lang w:eastAsia="zh-CN"/>
        </w:rPr>
      </w:pPr>
    </w:p>
    <w:p w14:paraId="6BAA1A0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highlight w:val="none"/>
          <w:lang w:eastAsia="zh-CN"/>
        </w:rPr>
      </w:pPr>
    </w:p>
    <w:p w14:paraId="0285D6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szCs w:val="24"/>
          <w:highlight w:val="none"/>
          <w:lang w:eastAsia="zh-CN"/>
        </w:rPr>
      </w:pPr>
      <w:r>
        <w:rPr>
          <w:rFonts w:ascii="宋体" w:eastAsia="宋体" w:hAnsi="宋体" w:cs="黑体" w:hint="eastAsia"/>
          <w:b/>
          <w:bCs/>
          <w:color w:val="000000"/>
          <w:sz w:val="24"/>
          <w:highlight w:val="none"/>
        </w:rPr>
        <w:t>销售机构签章</w:t>
      </w:r>
      <w:r>
        <w:rPr>
          <w:rFonts w:ascii="宋体" w:eastAsia="宋体" w:hAnsi="宋体" w:cs="黑体" w:hint="eastAsia"/>
          <w:b/>
          <w:bCs/>
          <w:color w:val="000000"/>
          <w:sz w:val="24"/>
          <w:szCs w:val="24"/>
          <w:highlight w:val="none"/>
          <w:lang w:eastAsia="zh-CN"/>
        </w:rPr>
        <w:t>：</w:t>
      </w:r>
    </w:p>
    <w:p w14:paraId="7F8EFE0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szCs w:val="24"/>
          <w:highlight w:val="none"/>
          <w:lang w:eastAsia="zh-CN"/>
        </w:rPr>
      </w:pPr>
    </w:p>
    <w:p w14:paraId="1D7F24A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szCs w:val="24"/>
          <w:highlight w:val="none"/>
          <w:lang w:eastAsia="zh-CN"/>
        </w:rPr>
      </w:pPr>
    </w:p>
    <w:p w14:paraId="03C48D26">
      <w:pPr>
        <w:spacing w:before="156" w:beforeLines="50" w:after="156" w:afterLines="50" w:line="360" w:lineRule="auto"/>
        <w:ind w:firstLine="4800" w:firstLineChars="2000"/>
        <w:jc w:val="right"/>
        <w:rPr>
          <w:rFonts w:ascii="宋体" w:hAnsi="宋体" w:cs="宋体"/>
          <w:bCs/>
          <w:color w:val="000000"/>
          <w:sz w:val="24"/>
        </w:rPr>
      </w:pPr>
      <w:r>
        <w:rPr>
          <w:rFonts w:ascii="Arial" w:hAnsi="Arial" w:hint="eastAsia"/>
          <w:color w:val="000000"/>
          <w:sz w:val="24"/>
          <w:highlight w:val="none"/>
        </w:rPr>
        <w:t xml:space="preserve">   年   月   日</w:t>
      </w:r>
    </w:p>
    <w:p w14:paraId="59D3B8CB">
      <w:pPr>
        <w:spacing w:before="156" w:beforeLines="50" w:after="156" w:afterLines="50" w:line="360" w:lineRule="auto"/>
        <w:ind w:firstLine="0" w:firstLineChars="0"/>
        <w:jc w:val="center"/>
        <w:rPr>
          <w:rFonts w:ascii="宋体" w:hAnsi="宋体" w:cs="宋体"/>
          <w:bCs/>
          <w:color w:val="000000"/>
          <w:sz w:val="24"/>
          <w:highlight w:val="none"/>
        </w:rPr>
      </w:pPr>
    </w:p>
    <w:sectPr>
      <w:headerReference w:type="default" r:id="rId5"/>
      <w:footerReference w:type="default" r:id="rId6"/>
      <w:pgSz w:w="11906" w:h="16838"/>
      <w:pgMar w:top="1440" w:right="1800" w:bottom="1440" w:left="1800" w:header="851" w:footer="992" w:gutter="0"/>
      <w:pgNumType w:start="1"/>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1" w:csb1="00000000"/>
  </w:font>
  <w:font w:name="Calibri">
    <w:altName w:val="Arial"/>
    <w:panose1 w:val="020F0502020204030204"/>
    <w:charset w:val="00"/>
    <w:family w:val="swiss"/>
    <w:pitch w:val="default"/>
    <w:sig w:usb0="00000000" w:usb1="00000000"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03CD122D">
    <w:pPr>
      <w:pStyle w:val="Foo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67</w:t>
                          </w:r>
                          <w:r>
                            <w:rPr>
                              <w:rFonts w:hint="eastAsia"/>
                              <w:sz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v:textbox style="mso-fit-shape-to-text:t" inset="0,0,0,0">
                <w:txbxContent>
                  <w:p w14:paraId="08E54A3F">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67</w:t>
                    </w:r>
                    <w:r>
                      <w:rPr>
                        <w:rFonts w:hint="eastAsia"/>
                        <w:sz w:val="18"/>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675BB235">
    <w:pPr>
      <w:pStyle w:val="Header"/>
      <w:pBdr>
        <w:bottom w:val="single" w:sz="4" w:space="1" w:color="auto"/>
      </w:pBdr>
    </w:pPr>
    <w:r>
      <w:rPr>
        <w:rFonts w:hint="eastAsia"/>
        <w:b/>
        <w:bCs/>
        <w:color w:val="000000"/>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xmlns:r="http://schemas.openxmlformats.org/officeDocument/2006/relationships"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1879860"/>
    <w:multiLevelType w:val="singleLevel"/>
    <w:tmpl w:val="81879860"/>
    <w:lvl w:ilvl="0">
      <w:start w:val="8"/>
      <w:numFmt w:val="decimal"/>
      <w:suff w:val="nothing"/>
      <w:lvlText w:val="%1．"/>
      <w:lvlJc w:val="left"/>
      <w:pPr>
        <w:ind w:left="0" w:firstLine="403"/>
      </w:pPr>
      <w:rPr>
        <w:rFonts w:hint="default"/>
        <w:color w:val="000000"/>
      </w:rPr>
    </w:lvl>
  </w:abstractNum>
  <w:abstractNum w:abstractNumId="1">
    <w:nsid w:val="830DBA53"/>
    <w:multiLevelType w:val="singleLevel"/>
    <w:tmpl w:val="830DBA53"/>
    <w:lvl w:ilvl="0">
      <w:start w:val="1"/>
      <w:numFmt w:val="chineseCounting"/>
      <w:suff w:val="nothing"/>
      <w:lvlText w:val="（%1）"/>
      <w:lvlJc w:val="left"/>
      <w:pPr>
        <w:ind w:left="0" w:firstLine="420"/>
      </w:pPr>
      <w:rPr>
        <w:rFonts w:hint="eastAsia"/>
        <w:color w:val="000000"/>
      </w:rPr>
    </w:lvl>
  </w:abstractNum>
  <w:abstractNum w:abstractNumId="2">
    <w:nsid w:val="85460E80"/>
    <w:multiLevelType w:val="singleLevel"/>
    <w:tmpl w:val="85460E80"/>
    <w:lvl w:ilvl="0">
      <w:start w:val="1"/>
      <w:numFmt w:val="decimal"/>
      <w:suff w:val="nothing"/>
      <w:lvlText w:val="（%1）"/>
      <w:lvlJc w:val="left"/>
      <w:rPr>
        <w:rFonts w:hint="default"/>
        <w:b w:val="0"/>
        <w:bCs w:val="0"/>
        <w:color w:val="000000"/>
      </w:rPr>
    </w:lvl>
  </w:abstractNum>
  <w:abstractNum w:abstractNumId="3">
    <w:nsid w:val="8723FD40"/>
    <w:multiLevelType w:val="singleLevel"/>
    <w:tmpl w:val="8723FD40"/>
    <w:lvl w:ilvl="0">
      <w:start w:val="1"/>
      <w:numFmt w:val="decimal"/>
      <w:suff w:val="nothing"/>
      <w:lvlText w:val="%1．"/>
      <w:lvlJc w:val="left"/>
      <w:pPr>
        <w:ind w:left="0" w:firstLine="400"/>
      </w:pPr>
      <w:rPr>
        <w:rFonts w:ascii="宋体" w:eastAsia="宋体" w:hAnsi="宋体" w:cs="宋体" w:hint="default"/>
        <w:b w:val="0"/>
        <w:bCs w:val="0"/>
        <w:color w:val="000000"/>
      </w:rPr>
    </w:lvl>
  </w:abstractNum>
  <w:abstractNum w:abstractNumId="4">
    <w:nsid w:val="8906C252"/>
    <w:multiLevelType w:val="singleLevel"/>
    <w:tmpl w:val="8906C252"/>
    <w:lvl w:ilvl="0">
      <w:start w:val="1"/>
      <w:numFmt w:val="decimal"/>
      <w:suff w:val="nothing"/>
      <w:lvlText w:val="（%1）"/>
      <w:lvlJc w:val="left"/>
      <w:rPr>
        <w:rFonts w:hint="default"/>
        <w:b w:val="0"/>
        <w:bCs w:val="0"/>
        <w:color w:val="000000"/>
      </w:rPr>
    </w:lvl>
  </w:abstractNum>
  <w:abstractNum w:abstractNumId="5">
    <w:nsid w:val="8A1865EC"/>
    <w:multiLevelType w:val="singleLevel"/>
    <w:tmpl w:val="8A1865EC"/>
    <w:lvl w:ilvl="0">
      <w:start w:val="1"/>
      <w:numFmt w:val="decimal"/>
      <w:suff w:val="nothing"/>
      <w:lvlText w:val="%1．"/>
      <w:lvlJc w:val="left"/>
      <w:pPr>
        <w:ind w:left="0" w:firstLine="400"/>
      </w:pPr>
      <w:rPr>
        <w:rFonts w:ascii="宋体" w:eastAsia="宋体" w:hAnsi="宋体" w:cs="宋体" w:hint="default"/>
      </w:rPr>
    </w:lvl>
  </w:abstractNum>
  <w:abstractNum w:abstractNumId="6">
    <w:nsid w:val="8D0ECC14"/>
    <w:multiLevelType w:val="singleLevel"/>
    <w:tmpl w:val="8D0ECC14"/>
    <w:lvl w:ilvl="0">
      <w:start w:val="2"/>
      <w:numFmt w:val="chineseCounting"/>
      <w:suff w:val="nothing"/>
      <w:lvlText w:val="（%1）"/>
      <w:lvlJc w:val="left"/>
      <w:pPr>
        <w:ind w:left="0" w:firstLine="420"/>
      </w:pPr>
      <w:rPr>
        <w:rFonts w:hint="eastAsia"/>
        <w:color w:val="000000"/>
      </w:rPr>
    </w:lvl>
  </w:abstractNum>
  <w:abstractNum w:abstractNumId="7">
    <w:nsid w:val="8D2AB5FD"/>
    <w:multiLevelType w:val="singleLevel"/>
    <w:tmpl w:val="8D2AB5FD"/>
    <w:lvl w:ilvl="0">
      <w:start w:val="1"/>
      <w:numFmt w:val="chineseCounting"/>
      <w:suff w:val="nothing"/>
      <w:lvlText w:val="（%1）"/>
      <w:lvlJc w:val="left"/>
      <w:pPr>
        <w:ind w:left="0" w:firstLine="420"/>
      </w:pPr>
      <w:rPr>
        <w:rFonts w:hint="eastAsia"/>
        <w:color w:val="000000"/>
        <w:highlight w:val="none"/>
      </w:rPr>
    </w:lvl>
  </w:abstractNum>
  <w:abstractNum w:abstractNumId="8">
    <w:nsid w:val="8FC09253"/>
    <w:multiLevelType w:val="singleLevel"/>
    <w:tmpl w:val="8FC09253"/>
    <w:lvl w:ilvl="0">
      <w:start w:val="3"/>
      <w:numFmt w:val="chineseCounting"/>
      <w:suff w:val="nothing"/>
      <w:lvlText w:val="%1、"/>
      <w:lvlJc w:val="left"/>
      <w:pPr>
        <w:ind w:left="-420" w:firstLine="420"/>
      </w:pPr>
      <w:rPr>
        <w:rFonts w:hint="eastAsia"/>
        <w:color w:val="000000"/>
      </w:rPr>
    </w:lvl>
  </w:abstractNum>
  <w:abstractNum w:abstractNumId="9">
    <w:nsid w:val="93980280"/>
    <w:multiLevelType w:val="singleLevel"/>
    <w:tmpl w:val="93980280"/>
    <w:lvl w:ilvl="0">
      <w:start w:val="5"/>
      <w:numFmt w:val="chineseCounting"/>
      <w:suff w:val="nothing"/>
      <w:lvlText w:val="%1、"/>
      <w:lvlJc w:val="left"/>
      <w:pPr>
        <w:ind w:left="-420" w:firstLine="420"/>
      </w:pPr>
      <w:rPr>
        <w:rFonts w:hint="eastAsia"/>
      </w:rPr>
    </w:lvl>
  </w:abstractNum>
  <w:abstractNum w:abstractNumId="10">
    <w:nsid w:val="9E10E19D"/>
    <w:multiLevelType w:val="singleLevel"/>
    <w:tmpl w:val="9E10E19D"/>
    <w:lvl w:ilvl="0">
      <w:start w:val="1"/>
      <w:numFmt w:val="chineseCounting"/>
      <w:suff w:val="nothing"/>
      <w:lvlText w:val="（%1）"/>
      <w:lvlJc w:val="left"/>
      <w:pPr>
        <w:ind w:left="0" w:firstLine="420"/>
      </w:pPr>
      <w:rPr>
        <w:rFonts w:hint="eastAsia"/>
        <w:color w:val="000000"/>
      </w:rPr>
    </w:lvl>
  </w:abstractNum>
  <w:abstractNum w:abstractNumId="11">
    <w:nsid w:val="9E4A8FE0"/>
    <w:multiLevelType w:val="singleLevel"/>
    <w:tmpl w:val="9E4A8FE0"/>
    <w:lvl w:ilvl="0">
      <w:start w:val="1"/>
      <w:numFmt w:val="decimal"/>
      <w:suff w:val="nothing"/>
      <w:lvlText w:val="%1．"/>
      <w:lvlJc w:val="left"/>
      <w:pPr>
        <w:ind w:left="0" w:firstLine="400"/>
      </w:pPr>
      <w:rPr>
        <w:rFonts w:hint="default"/>
        <w:b/>
        <w:bCs/>
        <w:color w:val="000000"/>
      </w:rPr>
    </w:lvl>
  </w:abstractNum>
  <w:abstractNum w:abstractNumId="12">
    <w:nsid w:val="9F173FD6"/>
    <w:multiLevelType w:val="singleLevel"/>
    <w:tmpl w:val="9F173FD6"/>
    <w:lvl w:ilvl="0">
      <w:start w:val="1"/>
      <w:numFmt w:val="decimal"/>
      <w:suff w:val="nothing"/>
      <w:lvlText w:val="%1．"/>
      <w:lvlJc w:val="left"/>
      <w:pPr>
        <w:ind w:left="0" w:firstLine="400"/>
      </w:pPr>
      <w:rPr>
        <w:rFonts w:hint="default"/>
        <w:color w:val="000000"/>
      </w:rPr>
    </w:lvl>
  </w:abstractNum>
  <w:abstractNum w:abstractNumId="13">
    <w:nsid w:val="AAB48CF5"/>
    <w:multiLevelType w:val="singleLevel"/>
    <w:tmpl w:val="AAB48CF5"/>
    <w:lvl w:ilvl="0">
      <w:start w:val="1"/>
      <w:numFmt w:val="decimal"/>
      <w:suff w:val="nothing"/>
      <w:lvlText w:val="%1．"/>
      <w:lvlJc w:val="left"/>
      <w:pPr>
        <w:ind w:left="0" w:firstLine="400"/>
      </w:pPr>
      <w:rPr>
        <w:rFonts w:hint="default"/>
        <w:color w:val="000000"/>
      </w:rPr>
    </w:lvl>
  </w:abstractNum>
  <w:abstractNum w:abstractNumId="14">
    <w:nsid w:val="AC40BB97"/>
    <w:multiLevelType w:val="singleLevel"/>
    <w:tmpl w:val="AC40BB97"/>
    <w:lvl w:ilvl="0">
      <w:start w:val="1"/>
      <w:numFmt w:val="chineseCounting"/>
      <w:suff w:val="nothing"/>
      <w:lvlText w:val="%1、"/>
      <w:lvlJc w:val="left"/>
      <w:rPr>
        <w:rFonts w:hint="eastAsia"/>
        <w:color w:val="000000"/>
      </w:rPr>
    </w:lvl>
  </w:abstractNum>
  <w:abstractNum w:abstractNumId="15">
    <w:nsid w:val="AF5FAE6B"/>
    <w:multiLevelType w:val="singleLevel"/>
    <w:tmpl w:val="AF5FAE6B"/>
    <w:lvl w:ilvl="0">
      <w:start w:val="1"/>
      <w:numFmt w:val="chineseCounting"/>
      <w:suff w:val="nothing"/>
      <w:lvlText w:val="（%1）"/>
      <w:lvlJc w:val="left"/>
      <w:pPr>
        <w:ind w:left="0" w:firstLine="420"/>
      </w:pPr>
      <w:rPr>
        <w:rFonts w:hint="eastAsia"/>
        <w:color w:val="000000"/>
      </w:rPr>
    </w:lvl>
  </w:abstractNum>
  <w:abstractNum w:abstractNumId="16">
    <w:nsid w:val="B08226EF"/>
    <w:multiLevelType w:val="singleLevel"/>
    <w:tmpl w:val="B08226EF"/>
    <w:lvl w:ilvl="0">
      <w:start w:val="1"/>
      <w:numFmt w:val="chineseCounting"/>
      <w:suff w:val="space"/>
      <w:lvlText w:val="第%1条"/>
      <w:lvlJc w:val="left"/>
      <w:rPr>
        <w:rFonts w:hint="eastAsia"/>
        <w:color w:val="000000"/>
      </w:rPr>
    </w:lvl>
  </w:abstractNum>
  <w:abstractNum w:abstractNumId="17">
    <w:nsid w:val="BB4AE6C3"/>
    <w:multiLevelType w:val="singleLevel"/>
    <w:tmpl w:val="BB4AE6C3"/>
    <w:lvl w:ilvl="0">
      <w:start w:val="2"/>
      <w:numFmt w:val="decimal"/>
      <w:suff w:val="nothing"/>
      <w:lvlText w:val="%1．"/>
      <w:lvlJc w:val="left"/>
      <w:pPr>
        <w:ind w:left="0" w:firstLine="403"/>
      </w:pPr>
      <w:rPr>
        <w:rFonts w:hint="default"/>
        <w:color w:val="000000"/>
      </w:rPr>
    </w:lvl>
  </w:abstractNum>
  <w:abstractNum w:abstractNumId="18">
    <w:nsid w:val="BBE916E8"/>
    <w:multiLevelType w:val="singleLevel"/>
    <w:tmpl w:val="BBE916E8"/>
    <w:lvl w:ilvl="0">
      <w:start w:val="1"/>
      <w:numFmt w:val="decimal"/>
      <w:suff w:val="nothing"/>
      <w:lvlText w:val="%1．"/>
      <w:lvlJc w:val="left"/>
      <w:pPr>
        <w:ind w:left="0" w:firstLine="400"/>
      </w:pPr>
      <w:rPr>
        <w:rFonts w:hint="default"/>
        <w:b w:val="0"/>
        <w:bCs w:val="0"/>
        <w:color w:val="000000"/>
      </w:rPr>
    </w:lvl>
  </w:abstractNum>
  <w:abstractNum w:abstractNumId="19">
    <w:nsid w:val="C7BD8C7E"/>
    <w:multiLevelType w:val="singleLevel"/>
    <w:tmpl w:val="C7BD8C7E"/>
    <w:lvl w:ilvl="0">
      <w:start w:val="1"/>
      <w:numFmt w:val="decimal"/>
      <w:suff w:val="nothing"/>
      <w:lvlText w:val="%1．"/>
      <w:lvlJc w:val="left"/>
      <w:pPr>
        <w:ind w:left="0" w:firstLine="400"/>
      </w:pPr>
      <w:rPr>
        <w:rFonts w:ascii="宋体" w:eastAsia="宋体" w:hAnsi="宋体" w:cs="宋体" w:hint="default"/>
        <w:color w:val="000000"/>
      </w:rPr>
    </w:lvl>
  </w:abstractNum>
  <w:abstractNum w:abstractNumId="20">
    <w:nsid w:val="D51C2339"/>
    <w:multiLevelType w:val="singleLevel"/>
    <w:tmpl w:val="D51C2339"/>
    <w:lvl w:ilvl="0">
      <w:start w:val="1"/>
      <w:numFmt w:val="decimal"/>
      <w:suff w:val="nothing"/>
      <w:lvlText w:val="%1．"/>
      <w:lvlJc w:val="left"/>
      <w:pPr>
        <w:ind w:left="0" w:firstLine="400"/>
      </w:pPr>
      <w:rPr>
        <w:rFonts w:ascii="宋体" w:eastAsia="宋体" w:hAnsi="宋体" w:cs="宋体" w:hint="default"/>
        <w:b/>
        <w:bCs/>
        <w:color w:val="000000"/>
      </w:rPr>
    </w:lvl>
  </w:abstractNum>
  <w:abstractNum w:abstractNumId="21">
    <w:nsid w:val="D86C2766"/>
    <w:multiLevelType w:val="singleLevel"/>
    <w:tmpl w:val="D86C2766"/>
    <w:lvl w:ilvl="0">
      <w:start w:val="5"/>
      <w:numFmt w:val="decimal"/>
      <w:suff w:val="nothing"/>
      <w:lvlText w:val="%1．"/>
      <w:lvlJc w:val="left"/>
      <w:pPr>
        <w:ind w:left="0" w:firstLine="403"/>
      </w:pPr>
      <w:rPr>
        <w:rFonts w:hint="default"/>
      </w:rPr>
    </w:lvl>
  </w:abstractNum>
  <w:abstractNum w:abstractNumId="22">
    <w:nsid w:val="D87B2C43"/>
    <w:multiLevelType w:val="singleLevel"/>
    <w:tmpl w:val="D87B2C43"/>
    <w:lvl w:ilvl="0">
      <w:start w:val="1"/>
      <w:numFmt w:val="chineseCounting"/>
      <w:suff w:val="nothing"/>
      <w:lvlText w:val="（%1）"/>
      <w:lvlJc w:val="left"/>
      <w:pPr>
        <w:ind w:left="0" w:firstLine="420"/>
      </w:pPr>
      <w:rPr>
        <w:rFonts w:hint="eastAsia"/>
        <w:color w:val="000000"/>
      </w:rPr>
    </w:lvl>
  </w:abstractNum>
  <w:abstractNum w:abstractNumId="23">
    <w:nsid w:val="D8D75090"/>
    <w:multiLevelType w:val="singleLevel"/>
    <w:tmpl w:val="D8D75090"/>
    <w:lvl w:ilvl="0">
      <w:start w:val="1"/>
      <w:numFmt w:val="decimal"/>
      <w:suff w:val="nothing"/>
      <w:lvlText w:val="（%1）"/>
      <w:lvlJc w:val="left"/>
      <w:rPr>
        <w:rFonts w:hint="default"/>
        <w:b w:val="0"/>
        <w:bCs w:val="0"/>
        <w:color w:val="000000"/>
      </w:rPr>
    </w:lvl>
  </w:abstractNum>
  <w:abstractNum w:abstractNumId="24">
    <w:nsid w:val="DD2251DF"/>
    <w:multiLevelType w:val="singleLevel"/>
    <w:tmpl w:val="DD2251DF"/>
    <w:lvl w:ilvl="0">
      <w:start w:val="1"/>
      <w:numFmt w:val="decimal"/>
      <w:suff w:val="nothing"/>
      <w:lvlText w:val="（%1）"/>
      <w:lvlJc w:val="left"/>
      <w:rPr>
        <w:rFonts w:hint="default"/>
        <w:b w:val="0"/>
        <w:bCs w:val="0"/>
        <w:color w:val="000000"/>
      </w:rPr>
    </w:lvl>
  </w:abstractNum>
  <w:abstractNum w:abstractNumId="25">
    <w:nsid w:val="E20DF07A"/>
    <w:multiLevelType w:val="singleLevel"/>
    <w:tmpl w:val="E20DF07A"/>
    <w:lvl w:ilvl="0">
      <w:start w:val="1"/>
      <w:numFmt w:val="chineseCounting"/>
      <w:suff w:val="nothing"/>
      <w:lvlText w:val="（%1）"/>
      <w:lvlJc w:val="left"/>
      <w:pPr>
        <w:ind w:left="0" w:firstLine="420"/>
      </w:pPr>
      <w:rPr>
        <w:rFonts w:hint="eastAsia"/>
        <w:b/>
        <w:bCs/>
        <w:color w:val="000000"/>
      </w:rPr>
    </w:lvl>
  </w:abstractNum>
  <w:abstractNum w:abstractNumId="26">
    <w:nsid w:val="E70DF796"/>
    <w:multiLevelType w:val="singleLevel"/>
    <w:tmpl w:val="E70DF796"/>
    <w:lvl w:ilvl="0">
      <w:start w:val="1"/>
      <w:numFmt w:val="decimal"/>
      <w:suff w:val="nothing"/>
      <w:lvlText w:val="（%1）"/>
      <w:lvlJc w:val="left"/>
      <w:rPr>
        <w:color w:val="000000"/>
      </w:rPr>
    </w:lvl>
  </w:abstractNum>
  <w:abstractNum w:abstractNumId="27">
    <w:nsid w:val="EFF37F09"/>
    <w:multiLevelType w:val="singleLevel"/>
    <w:tmpl w:val="EFF37F09"/>
    <w:lvl w:ilvl="0">
      <w:start w:val="1"/>
      <w:numFmt w:val="decimal"/>
      <w:suff w:val="nothing"/>
      <w:lvlText w:val="（%1）"/>
      <w:lvlJc w:val="left"/>
      <w:rPr>
        <w:rFonts w:hint="default"/>
        <w:b w:val="0"/>
        <w:bCs w:val="0"/>
        <w:color w:val="000000"/>
      </w:rPr>
    </w:lvl>
  </w:abstractNum>
  <w:abstractNum w:abstractNumId="28">
    <w:nsid w:val="F2B939FD"/>
    <w:multiLevelType w:val="singleLevel"/>
    <w:tmpl w:val="F2B939FD"/>
    <w:lvl w:ilvl="0">
      <w:start w:val="1"/>
      <w:numFmt w:val="decimal"/>
      <w:suff w:val="nothing"/>
      <w:lvlText w:val="%1．"/>
      <w:lvlJc w:val="left"/>
      <w:pPr>
        <w:ind w:left="0" w:firstLine="400"/>
      </w:pPr>
      <w:rPr>
        <w:rFonts w:ascii="宋体" w:eastAsia="宋体" w:hAnsi="宋体" w:cs="宋体" w:hint="default"/>
        <w:color w:val="000000"/>
      </w:rPr>
    </w:lvl>
  </w:abstractNum>
  <w:abstractNum w:abstractNumId="29">
    <w:nsid w:val="F3AF4DAD"/>
    <w:multiLevelType w:val="singleLevel"/>
    <w:tmpl w:val="F3AF4DAD"/>
    <w:lvl w:ilvl="0">
      <w:start w:val="1"/>
      <w:numFmt w:val="chineseCounting"/>
      <w:suff w:val="nothing"/>
      <w:lvlText w:val="（%1）"/>
      <w:lvlJc w:val="left"/>
      <w:pPr>
        <w:ind w:left="0" w:firstLine="420"/>
      </w:pPr>
      <w:rPr>
        <w:rFonts w:hint="eastAsia"/>
        <w:color w:val="000000"/>
      </w:rPr>
    </w:lvl>
  </w:abstractNum>
  <w:abstractNum w:abstractNumId="30">
    <w:nsid w:val="F44DF26E"/>
    <w:multiLevelType w:val="singleLevel"/>
    <w:tmpl w:val="F44DF26E"/>
    <w:lvl w:ilvl="0">
      <w:start w:val="1"/>
      <w:numFmt w:val="decimal"/>
      <w:suff w:val="nothing"/>
      <w:lvlText w:val="%1．"/>
      <w:lvlJc w:val="left"/>
      <w:pPr>
        <w:ind w:left="0" w:firstLine="400"/>
      </w:pPr>
      <w:rPr>
        <w:rFonts w:hint="default"/>
        <w:color w:val="000000"/>
      </w:rPr>
    </w:lvl>
  </w:abstractNum>
  <w:abstractNum w:abstractNumId="31">
    <w:nsid w:val="F574F5B6"/>
    <w:multiLevelType w:val="singleLevel"/>
    <w:tmpl w:val="F574F5B6"/>
    <w:lvl w:ilvl="0">
      <w:start w:val="1"/>
      <w:numFmt w:val="decimal"/>
      <w:suff w:val="nothing"/>
      <w:lvlText w:val="（%1）"/>
      <w:lvlJc w:val="left"/>
      <w:rPr>
        <w:color w:val="000000"/>
      </w:rPr>
    </w:lvl>
  </w:abstractNum>
  <w:abstractNum w:abstractNumId="32">
    <w:nsid w:val="FAA9B37B"/>
    <w:multiLevelType w:val="singleLevel"/>
    <w:tmpl w:val="FAA9B37B"/>
    <w:lvl w:ilvl="0">
      <w:start w:val="2"/>
      <w:numFmt w:val="chineseCounting"/>
      <w:suff w:val="nothing"/>
      <w:lvlText w:val="%1、"/>
      <w:lvlJc w:val="left"/>
      <w:pPr>
        <w:ind w:left="-420" w:firstLine="420"/>
      </w:pPr>
      <w:rPr>
        <w:rFonts w:hint="eastAsia"/>
        <w:color w:val="000000"/>
      </w:rPr>
    </w:lvl>
  </w:abstractNum>
  <w:abstractNum w:abstractNumId="33">
    <w:nsid w:val="FBBA18C3"/>
    <w:multiLevelType w:val="singleLevel"/>
    <w:tmpl w:val="FBBA18C3"/>
    <w:lvl w:ilvl="0">
      <w:start w:val="1"/>
      <w:numFmt w:val="decimal"/>
      <w:lvlText w:val="%1."/>
      <w:lvlJc w:val="left"/>
      <w:pPr>
        <w:tabs>
          <w:tab w:val="left" w:pos="312"/>
        </w:tabs>
      </w:pPr>
      <w:rPr>
        <w:rFonts w:hint="default"/>
        <w:b w:val="0"/>
        <w:bCs w:val="0"/>
        <w:color w:val="000000"/>
        <w:highlight w:val="none"/>
      </w:rPr>
    </w:lvl>
  </w:abstractNum>
  <w:abstractNum w:abstractNumId="34">
    <w:nsid w:val="FE7EBB01"/>
    <w:multiLevelType w:val="multilevel"/>
    <w:tmpl w:val="FE7EBB01"/>
    <w:lvl w:ilvl="0">
      <w:start w:val="1"/>
      <w:numFmt w:val="decimal"/>
      <w:suff w:val="nothing"/>
      <w:lvlText w:val="%1．"/>
      <w:lvlJc w:val="left"/>
      <w:pPr>
        <w:ind w:left="0" w:firstLine="400"/>
      </w:pPr>
      <w:rPr>
        <w:rFonts w:ascii="Times New Roman" w:hAnsi="Times New Roman" w:cs="Times New Roman" w:hint="default"/>
        <w:color w:val="000000"/>
      </w:rPr>
    </w:lvl>
    <w:lvl w:ilvl="1">
      <w:start w:val="1"/>
      <w:numFmt w:val="decimal"/>
      <w:lvlText w:val="%2."/>
      <w:lvlJc w:val="left"/>
      <w:pPr>
        <w:tabs>
          <w:tab w:val="left" w:pos="1440"/>
        </w:tabs>
        <w:ind w:left="1440" w:firstLine="65176"/>
      </w:pPr>
    </w:lvl>
    <w:lvl w:ilvl="2">
      <w:start w:val="1"/>
      <w:numFmt w:val="decimal"/>
      <w:lvlText w:val="%3."/>
      <w:lvlJc w:val="left"/>
      <w:pPr>
        <w:tabs>
          <w:tab w:val="left" w:pos="2160"/>
        </w:tabs>
        <w:ind w:left="2160" w:firstLine="65176"/>
      </w:pPr>
    </w:lvl>
    <w:lvl w:ilvl="3">
      <w:start w:val="1"/>
      <w:numFmt w:val="decimal"/>
      <w:lvlText w:val="%4."/>
      <w:lvlJc w:val="left"/>
      <w:pPr>
        <w:tabs>
          <w:tab w:val="left" w:pos="2880"/>
        </w:tabs>
        <w:ind w:left="2880" w:firstLine="65176"/>
      </w:pPr>
    </w:lvl>
    <w:lvl w:ilvl="4">
      <w:start w:val="1"/>
      <w:numFmt w:val="decimal"/>
      <w:lvlText w:val="%5."/>
      <w:lvlJc w:val="left"/>
      <w:pPr>
        <w:tabs>
          <w:tab w:val="left" w:pos="3600"/>
        </w:tabs>
        <w:ind w:left="3600" w:firstLine="65176"/>
      </w:pPr>
    </w:lvl>
    <w:lvl w:ilvl="5">
      <w:start w:val="1"/>
      <w:numFmt w:val="decimal"/>
      <w:lvlText w:val="%6."/>
      <w:lvlJc w:val="left"/>
      <w:pPr>
        <w:tabs>
          <w:tab w:val="left" w:pos="4320"/>
        </w:tabs>
        <w:ind w:left="4320" w:firstLine="65176"/>
      </w:pPr>
    </w:lvl>
    <w:lvl w:ilvl="6">
      <w:start w:val="1"/>
      <w:numFmt w:val="decimal"/>
      <w:lvlText w:val="%7."/>
      <w:lvlJc w:val="left"/>
      <w:pPr>
        <w:tabs>
          <w:tab w:val="left" w:pos="5040"/>
        </w:tabs>
        <w:ind w:left="5040" w:firstLine="65176"/>
      </w:pPr>
    </w:lvl>
    <w:lvl w:ilvl="7">
      <w:start w:val="1"/>
      <w:numFmt w:val="decimal"/>
      <w:lvlText w:val="%8."/>
      <w:lvlJc w:val="left"/>
      <w:pPr>
        <w:tabs>
          <w:tab w:val="left" w:pos="5760"/>
        </w:tabs>
        <w:ind w:left="5760" w:firstLine="65176"/>
      </w:pPr>
    </w:lvl>
    <w:lvl w:ilvl="8">
      <w:start w:val="1"/>
      <w:numFmt w:val="decimal"/>
      <w:lvlText w:val="%9."/>
      <w:lvlJc w:val="left"/>
      <w:pPr>
        <w:tabs>
          <w:tab w:val="left" w:pos="6480"/>
        </w:tabs>
        <w:ind w:left="6480" w:firstLine="65176"/>
      </w:pPr>
    </w:lvl>
  </w:abstractNum>
  <w:abstractNum w:abstractNumId="35">
    <w:nsid w:val="06A8803C"/>
    <w:multiLevelType w:val="singleLevel"/>
    <w:tmpl w:val="06A8803C"/>
    <w:lvl w:ilvl="0">
      <w:start w:val="1"/>
      <w:numFmt w:val="decimal"/>
      <w:suff w:val="nothing"/>
      <w:lvlText w:val="%1．"/>
      <w:lvlJc w:val="left"/>
      <w:pPr>
        <w:ind w:left="0" w:firstLine="400"/>
      </w:pPr>
      <w:rPr>
        <w:rFonts w:hint="default"/>
      </w:rPr>
    </w:lvl>
  </w:abstractNum>
  <w:abstractNum w:abstractNumId="36">
    <w:nsid w:val="084A6179"/>
    <w:multiLevelType w:val="singleLevel"/>
    <w:tmpl w:val="084A6179"/>
    <w:lvl w:ilvl="0">
      <w:start w:val="1"/>
      <w:numFmt w:val="decimal"/>
      <w:suff w:val="nothing"/>
      <w:lvlText w:val="（%1）"/>
      <w:lvlJc w:val="left"/>
      <w:rPr>
        <w:rFonts w:hint="default"/>
        <w:highlight w:val="none"/>
      </w:rPr>
    </w:lvl>
  </w:abstractNum>
  <w:abstractNum w:abstractNumId="37">
    <w:nsid w:val="0A7F4507"/>
    <w:multiLevelType w:val="singleLevel"/>
    <w:tmpl w:val="0A7F4507"/>
    <w:lvl w:ilvl="0">
      <w:start w:val="1"/>
      <w:numFmt w:val="decimal"/>
      <w:suff w:val="nothing"/>
      <w:lvlText w:val="%1．"/>
      <w:lvlJc w:val="left"/>
      <w:pPr>
        <w:ind w:left="0" w:firstLine="400"/>
      </w:pPr>
      <w:rPr>
        <w:rFonts w:ascii="宋体" w:eastAsia="宋体" w:hAnsi="宋体" w:cs="宋体" w:hint="default"/>
        <w:color w:val="000000"/>
      </w:rPr>
    </w:lvl>
  </w:abstractNum>
  <w:abstractNum w:abstractNumId="38">
    <w:nsid w:val="139CA754"/>
    <w:multiLevelType w:val="singleLevel"/>
    <w:tmpl w:val="139CA754"/>
    <w:lvl w:ilvl="0">
      <w:start w:val="1"/>
      <w:numFmt w:val="decimal"/>
      <w:suff w:val="nothing"/>
      <w:lvlText w:val="%1．"/>
      <w:lvlJc w:val="left"/>
      <w:pPr>
        <w:ind w:left="0" w:firstLine="400"/>
      </w:pPr>
      <w:rPr>
        <w:rFonts w:ascii="宋体" w:eastAsia="宋体" w:hAnsi="宋体" w:cs="宋体" w:hint="default"/>
        <w:color w:val="000000"/>
      </w:rPr>
    </w:lvl>
  </w:abstractNum>
  <w:abstractNum w:abstractNumId="39">
    <w:nsid w:val="14B04552"/>
    <w:multiLevelType w:val="singleLevel"/>
    <w:tmpl w:val="14B04552"/>
    <w:lvl w:ilvl="0">
      <w:start w:val="1"/>
      <w:numFmt w:val="decimal"/>
      <w:suff w:val="nothing"/>
      <w:lvlText w:val="%1．"/>
      <w:lvlJc w:val="left"/>
      <w:pPr>
        <w:ind w:left="0" w:firstLine="400"/>
      </w:pPr>
      <w:rPr>
        <w:rFonts w:hint="default"/>
      </w:rPr>
    </w:lvl>
  </w:abstractNum>
  <w:abstractNum w:abstractNumId="40">
    <w:nsid w:val="167B0BB4"/>
    <w:multiLevelType w:val="singleLevel"/>
    <w:tmpl w:val="167B0BB4"/>
    <w:lvl w:ilvl="0">
      <w:start w:val="1"/>
      <w:numFmt w:val="decimal"/>
      <w:suff w:val="nothing"/>
      <w:lvlText w:val="（%1）"/>
      <w:lvlJc w:val="left"/>
    </w:lvl>
  </w:abstractNum>
  <w:abstractNum w:abstractNumId="41">
    <w:nsid w:val="19207562"/>
    <w:multiLevelType w:val="singleLevel"/>
    <w:tmpl w:val="19207562"/>
    <w:lvl w:ilvl="0">
      <w:start w:val="1"/>
      <w:numFmt w:val="decimal"/>
      <w:suff w:val="nothing"/>
      <w:lvlText w:val="%1．"/>
      <w:lvlJc w:val="left"/>
      <w:pPr>
        <w:ind w:left="0" w:firstLine="400"/>
      </w:pPr>
      <w:rPr>
        <w:rFonts w:ascii="宋体" w:eastAsia="宋体" w:hAnsi="宋体" w:cs="宋体" w:hint="default"/>
        <w:b w:val="0"/>
        <w:bCs w:val="0"/>
        <w:highlight w:val="none"/>
      </w:rPr>
    </w:lvl>
  </w:abstractNum>
  <w:abstractNum w:abstractNumId="42">
    <w:nsid w:val="197A43F5"/>
    <w:multiLevelType w:val="singleLevel"/>
    <w:tmpl w:val="197A43F5"/>
    <w:lvl w:ilvl="0">
      <w:start w:val="3"/>
      <w:numFmt w:val="chineseCounting"/>
      <w:suff w:val="nothing"/>
      <w:lvlText w:val="（%1）"/>
      <w:lvlJc w:val="left"/>
      <w:pPr>
        <w:ind w:left="0" w:firstLine="420"/>
      </w:pPr>
      <w:rPr>
        <w:rFonts w:hint="eastAsia"/>
        <w:color w:val="000000"/>
      </w:rPr>
    </w:lvl>
  </w:abstractNum>
  <w:abstractNum w:abstractNumId="43">
    <w:nsid w:val="1DE2936E"/>
    <w:multiLevelType w:val="singleLevel"/>
    <w:tmpl w:val="1DE2936E"/>
    <w:lvl w:ilvl="0">
      <w:start w:val="6"/>
      <w:numFmt w:val="chineseCounting"/>
      <w:suff w:val="nothing"/>
      <w:lvlText w:val="%1、"/>
      <w:lvlJc w:val="left"/>
      <w:pPr>
        <w:ind w:left="-420" w:firstLine="420"/>
      </w:pPr>
      <w:rPr>
        <w:rFonts w:hint="eastAsia"/>
        <w:color w:val="000000"/>
      </w:rPr>
    </w:lvl>
  </w:abstractNum>
  <w:abstractNum w:abstractNumId="44">
    <w:nsid w:val="2A987C4E"/>
    <w:multiLevelType w:val="singleLevel"/>
    <w:tmpl w:val="2A987C4E"/>
    <w:lvl w:ilvl="0">
      <w:start w:val="5"/>
      <w:numFmt w:val="decimal"/>
      <w:suff w:val="nothing"/>
      <w:lvlText w:val="%1．"/>
      <w:lvlJc w:val="left"/>
      <w:pPr>
        <w:ind w:left="0" w:firstLine="403"/>
      </w:pPr>
      <w:rPr>
        <w:rFonts w:hint="default"/>
        <w:color w:val="000000"/>
      </w:rPr>
    </w:lvl>
  </w:abstractNum>
  <w:abstractNum w:abstractNumId="45">
    <w:nsid w:val="2CB63BE6"/>
    <w:multiLevelType w:val="singleLevel"/>
    <w:tmpl w:val="2CB63BE6"/>
    <w:lvl w:ilvl="0">
      <w:start w:val="1"/>
      <w:numFmt w:val="decimal"/>
      <w:suff w:val="nothing"/>
      <w:lvlText w:val="（%1）"/>
      <w:lvlJc w:val="left"/>
      <w:rPr>
        <w:rFonts w:hint="default"/>
        <w:b w:val="0"/>
        <w:bCs w:val="0"/>
        <w:color w:val="000000"/>
      </w:rPr>
    </w:lvl>
  </w:abstractNum>
  <w:abstractNum w:abstractNumId="46">
    <w:nsid w:val="3775F290"/>
    <w:multiLevelType w:val="singleLevel"/>
    <w:tmpl w:val="3775F290"/>
    <w:lvl w:ilvl="0">
      <w:start w:val="7"/>
      <w:numFmt w:val="decimal"/>
      <w:suff w:val="nothing"/>
      <w:lvlText w:val="%1．"/>
      <w:lvlJc w:val="left"/>
      <w:pPr>
        <w:ind w:left="0" w:firstLine="403"/>
      </w:pPr>
      <w:rPr>
        <w:rFonts w:hint="default"/>
      </w:rPr>
    </w:lvl>
  </w:abstractNum>
  <w:abstractNum w:abstractNumId="47">
    <w:nsid w:val="3C550B14"/>
    <w:multiLevelType w:val="singleLevel"/>
    <w:tmpl w:val="3C550B14"/>
    <w:lvl w:ilvl="0">
      <w:start w:val="1"/>
      <w:numFmt w:val="decimal"/>
      <w:suff w:val="nothing"/>
      <w:lvlText w:val="%1．"/>
      <w:lvlJc w:val="left"/>
      <w:pPr>
        <w:ind w:left="0" w:firstLine="400"/>
      </w:pPr>
      <w:rPr>
        <w:rFonts w:hint="default"/>
        <w:color w:val="000000"/>
      </w:rPr>
    </w:lvl>
  </w:abstractNum>
  <w:abstractNum w:abstractNumId="48">
    <w:nsid w:val="3D02F9B6"/>
    <w:multiLevelType w:val="singleLevel"/>
    <w:tmpl w:val="3D02F9B6"/>
    <w:lvl w:ilvl="0">
      <w:start w:val="1"/>
      <w:numFmt w:val="chineseCounting"/>
      <w:suff w:val="nothing"/>
      <w:lvlText w:val="（%1）"/>
      <w:lvlJc w:val="left"/>
      <w:pPr>
        <w:ind w:left="0" w:firstLine="420"/>
      </w:pPr>
      <w:rPr>
        <w:rFonts w:hint="eastAsia"/>
        <w:color w:val="000000"/>
      </w:rPr>
    </w:lvl>
  </w:abstractNum>
  <w:abstractNum w:abstractNumId="49">
    <w:nsid w:val="3E8BF7CA"/>
    <w:multiLevelType w:val="singleLevel"/>
    <w:tmpl w:val="3E8BF7CA"/>
    <w:lvl w:ilvl="0">
      <w:start w:val="3"/>
      <w:numFmt w:val="chineseCounting"/>
      <w:suff w:val="nothing"/>
      <w:lvlText w:val="（%1）"/>
      <w:lvlJc w:val="left"/>
      <w:pPr>
        <w:ind w:left="0" w:firstLine="420"/>
      </w:pPr>
      <w:rPr>
        <w:rFonts w:hint="eastAsia"/>
        <w:color w:val="000000"/>
      </w:rPr>
    </w:lvl>
  </w:abstractNum>
  <w:abstractNum w:abstractNumId="50">
    <w:nsid w:val="40727DE8"/>
    <w:multiLevelType w:val="singleLevel"/>
    <w:tmpl w:val="40727DE8"/>
    <w:lvl w:ilvl="0">
      <w:start w:val="1"/>
      <w:numFmt w:val="decimal"/>
      <w:suff w:val="nothing"/>
      <w:lvlText w:val="%1．"/>
      <w:lvlJc w:val="left"/>
      <w:pPr>
        <w:ind w:left="0" w:firstLine="400"/>
      </w:pPr>
      <w:rPr>
        <w:rFonts w:hint="default"/>
        <w:color w:val="000000"/>
      </w:rPr>
    </w:lvl>
  </w:abstractNum>
  <w:abstractNum w:abstractNumId="51">
    <w:nsid w:val="40C56BF5"/>
    <w:multiLevelType w:val="singleLevel"/>
    <w:tmpl w:val="40C56BF5"/>
    <w:lvl w:ilvl="0">
      <w:start w:val="1"/>
      <w:numFmt w:val="decimal"/>
      <w:suff w:val="nothing"/>
      <w:lvlText w:val="%1．"/>
      <w:lvlJc w:val="left"/>
      <w:pPr>
        <w:ind w:left="0" w:firstLine="400"/>
      </w:pPr>
      <w:rPr>
        <w:rFonts w:ascii="宋体" w:eastAsia="宋体" w:hAnsi="宋体" w:cs="宋体" w:hint="default"/>
        <w:color w:val="000000"/>
      </w:rPr>
    </w:lvl>
  </w:abstractNum>
  <w:abstractNum w:abstractNumId="52">
    <w:nsid w:val="440A0178"/>
    <w:multiLevelType w:val="singleLevel"/>
    <w:tmpl w:val="440A0178"/>
    <w:lvl w:ilvl="0">
      <w:start w:val="1"/>
      <w:numFmt w:val="chineseCounting"/>
      <w:suff w:val="nothing"/>
      <w:lvlText w:val="（%1）"/>
      <w:lvlJc w:val="left"/>
      <w:pPr>
        <w:ind w:left="0" w:firstLine="420"/>
      </w:pPr>
      <w:rPr>
        <w:rFonts w:hint="eastAsia"/>
        <w:color w:val="000000"/>
      </w:rPr>
    </w:lvl>
  </w:abstractNum>
  <w:abstractNum w:abstractNumId="53">
    <w:nsid w:val="4A032168"/>
    <w:multiLevelType w:val="singleLevel"/>
    <w:tmpl w:val="4A032168"/>
    <w:lvl w:ilvl="0">
      <w:start w:val="4"/>
      <w:numFmt w:val="decimal"/>
      <w:suff w:val="nothing"/>
      <w:lvlText w:val="%1．"/>
      <w:lvlJc w:val="left"/>
      <w:pPr>
        <w:ind w:left="0" w:firstLine="403"/>
      </w:pPr>
      <w:rPr>
        <w:rFonts w:hint="default"/>
        <w:color w:val="000000"/>
        <w:highlight w:val="none"/>
      </w:rPr>
    </w:lvl>
  </w:abstractNum>
  <w:abstractNum w:abstractNumId="54">
    <w:nsid w:val="4C142BB3"/>
    <w:multiLevelType w:val="singleLevel"/>
    <w:tmpl w:val="4C142BB3"/>
    <w:lvl w:ilvl="0">
      <w:start w:val="1"/>
      <w:numFmt w:val="chineseCounting"/>
      <w:suff w:val="nothing"/>
      <w:lvlText w:val="（%1）"/>
      <w:lvlJc w:val="left"/>
      <w:pPr>
        <w:ind w:left="0" w:firstLine="420"/>
      </w:pPr>
      <w:rPr>
        <w:rFonts w:hint="eastAsia"/>
        <w:color w:val="000000"/>
      </w:rPr>
    </w:lvl>
  </w:abstractNum>
  <w:abstractNum w:abstractNumId="55">
    <w:nsid w:val="4E635A5B"/>
    <w:multiLevelType w:val="singleLevel"/>
    <w:tmpl w:val="4E635A5B"/>
    <w:lvl w:ilvl="0">
      <w:start w:val="1"/>
      <w:numFmt w:val="chineseCounting"/>
      <w:suff w:val="nothing"/>
      <w:lvlText w:val="（%1）"/>
      <w:lvlJc w:val="left"/>
      <w:pPr>
        <w:ind w:left="0" w:firstLine="420"/>
      </w:pPr>
      <w:rPr>
        <w:rFonts w:hint="eastAsia"/>
        <w:b/>
        <w:bCs/>
        <w:color w:val="000000"/>
      </w:rPr>
    </w:lvl>
  </w:abstractNum>
  <w:abstractNum w:abstractNumId="56">
    <w:nsid w:val="4EA92D1A"/>
    <w:multiLevelType w:val="singleLevel"/>
    <w:tmpl w:val="4EA92D1A"/>
    <w:lvl w:ilvl="0">
      <w:start w:val="1"/>
      <w:numFmt w:val="chineseCounting"/>
      <w:suff w:val="nothing"/>
      <w:lvlText w:val="%1、"/>
      <w:lvlJc w:val="left"/>
      <w:pPr>
        <w:ind w:left="-420" w:firstLine="420"/>
      </w:pPr>
      <w:rPr>
        <w:rFonts w:hint="eastAsia"/>
        <w:color w:val="000000"/>
      </w:rPr>
    </w:lvl>
  </w:abstractNum>
  <w:abstractNum w:abstractNumId="57">
    <w:nsid w:val="57EB2BED"/>
    <w:multiLevelType w:val="singleLevel"/>
    <w:tmpl w:val="57EB2BED"/>
    <w:lvl w:ilvl="0">
      <w:start w:val="1"/>
      <w:numFmt w:val="decimal"/>
      <w:suff w:val="nothing"/>
      <w:lvlText w:val="%1．"/>
      <w:lvlJc w:val="left"/>
      <w:pPr>
        <w:ind w:left="0" w:firstLine="400"/>
      </w:pPr>
      <w:rPr>
        <w:rFonts w:hint="default"/>
        <w:color w:val="000000"/>
      </w:rPr>
    </w:lvl>
  </w:abstractNum>
  <w:abstractNum w:abstractNumId="58">
    <w:nsid w:val="5BA91325"/>
    <w:multiLevelType w:val="singleLevel"/>
    <w:tmpl w:val="5BA91325"/>
    <w:lvl w:ilvl="0">
      <w:start w:val="1"/>
      <w:numFmt w:val="decimal"/>
      <w:suff w:val="nothing"/>
      <w:lvlText w:val="（%1）"/>
      <w:lvlJc w:val="left"/>
      <w:rPr>
        <w:color w:val="000000"/>
      </w:rPr>
    </w:lvl>
  </w:abstractNum>
  <w:abstractNum w:abstractNumId="59">
    <w:nsid w:val="60C0383C"/>
    <w:multiLevelType w:val="singleLevel"/>
    <w:tmpl w:val="60C0383C"/>
    <w:lvl w:ilvl="0">
      <w:start w:val="1"/>
      <w:numFmt w:val="chineseCounting"/>
      <w:suff w:val="nothing"/>
      <w:lvlText w:val="（%1）"/>
      <w:lvlJc w:val="left"/>
      <w:pPr>
        <w:ind w:left="0" w:firstLine="420"/>
      </w:pPr>
      <w:rPr>
        <w:rFonts w:hint="eastAsia"/>
        <w:color w:val="000000"/>
      </w:rPr>
    </w:lvl>
  </w:abstractNum>
  <w:abstractNum w:abstractNumId="60">
    <w:nsid w:val="60C03881"/>
    <w:multiLevelType w:val="singleLevel"/>
    <w:tmpl w:val="60C03881"/>
    <w:lvl w:ilvl="0">
      <w:start w:val="10"/>
      <w:numFmt w:val="chineseCounting"/>
      <w:suff w:val="nothing"/>
      <w:lvlText w:val="（%1）"/>
      <w:lvlJc w:val="left"/>
      <w:pPr>
        <w:ind w:left="0" w:firstLine="420"/>
      </w:pPr>
      <w:rPr>
        <w:rFonts w:hint="eastAsia"/>
        <w:color w:val="000000"/>
      </w:rPr>
    </w:lvl>
  </w:abstractNum>
  <w:abstractNum w:abstractNumId="61">
    <w:nsid w:val="60C038C0"/>
    <w:multiLevelType w:val="singleLevel"/>
    <w:tmpl w:val="60C038C0"/>
    <w:lvl w:ilvl="0">
      <w:start w:val="1"/>
      <w:numFmt w:val="chineseCounting"/>
      <w:suff w:val="nothing"/>
      <w:lvlText w:val="（%1）"/>
      <w:lvlJc w:val="left"/>
      <w:pPr>
        <w:ind w:left="0" w:firstLine="420"/>
      </w:pPr>
      <w:rPr>
        <w:rFonts w:hint="eastAsia"/>
        <w:color w:val="000000"/>
      </w:rPr>
    </w:lvl>
  </w:abstractNum>
  <w:abstractNum w:abstractNumId="62">
    <w:nsid w:val="60C038EA"/>
    <w:multiLevelType w:val="singleLevel"/>
    <w:tmpl w:val="60C038EA"/>
    <w:lvl w:ilvl="0">
      <w:start w:val="1"/>
      <w:numFmt w:val="chineseCounting"/>
      <w:suff w:val="nothing"/>
      <w:lvlText w:val="（%1）"/>
      <w:lvlJc w:val="left"/>
      <w:pPr>
        <w:ind w:left="0" w:firstLine="420"/>
      </w:pPr>
      <w:rPr>
        <w:rFonts w:hint="eastAsia"/>
        <w:color w:val="000000"/>
      </w:rPr>
    </w:lvl>
  </w:abstractNum>
  <w:abstractNum w:abstractNumId="63">
    <w:nsid w:val="60C03912"/>
    <w:multiLevelType w:val="singleLevel"/>
    <w:tmpl w:val="60C03912"/>
    <w:lvl w:ilvl="0">
      <w:start w:val="1"/>
      <w:numFmt w:val="chineseCounting"/>
      <w:suff w:val="nothing"/>
      <w:lvlText w:val="（%1）"/>
      <w:lvlJc w:val="left"/>
      <w:pPr>
        <w:ind w:left="0" w:firstLine="420"/>
      </w:pPr>
      <w:rPr>
        <w:rFonts w:hint="eastAsia"/>
        <w:color w:val="000000"/>
      </w:rPr>
    </w:lvl>
  </w:abstractNum>
  <w:abstractNum w:abstractNumId="64">
    <w:nsid w:val="60C03933"/>
    <w:multiLevelType w:val="singleLevel"/>
    <w:tmpl w:val="60C03933"/>
    <w:lvl w:ilvl="0">
      <w:start w:val="1"/>
      <w:numFmt w:val="chineseCounting"/>
      <w:suff w:val="nothing"/>
      <w:lvlText w:val="（%1）"/>
      <w:lvlJc w:val="left"/>
      <w:pPr>
        <w:ind w:left="0" w:firstLine="420"/>
      </w:pPr>
      <w:rPr>
        <w:rFonts w:hint="eastAsia"/>
        <w:color w:val="000000"/>
      </w:rPr>
    </w:lvl>
  </w:abstractNum>
  <w:abstractNum w:abstractNumId="65">
    <w:nsid w:val="60C03E3F"/>
    <w:multiLevelType w:val="singleLevel"/>
    <w:tmpl w:val="60C03E3F"/>
    <w:lvl w:ilvl="0">
      <w:start w:val="1"/>
      <w:numFmt w:val="chineseCounting"/>
      <w:suff w:val="nothing"/>
      <w:lvlText w:val="（%1）"/>
      <w:lvlJc w:val="left"/>
      <w:pPr>
        <w:ind w:left="0" w:firstLine="420"/>
      </w:pPr>
      <w:rPr>
        <w:rFonts w:hint="eastAsia"/>
        <w:color w:val="000000"/>
      </w:rPr>
    </w:lvl>
  </w:abstractNum>
  <w:abstractNum w:abstractNumId="66">
    <w:nsid w:val="60C03E76"/>
    <w:multiLevelType w:val="singleLevel"/>
    <w:tmpl w:val="60C03E76"/>
    <w:lvl w:ilvl="0">
      <w:start w:val="1"/>
      <w:numFmt w:val="chineseCounting"/>
      <w:suff w:val="nothing"/>
      <w:lvlText w:val="%1、"/>
      <w:lvlJc w:val="left"/>
      <w:pPr>
        <w:ind w:left="0" w:firstLine="420"/>
      </w:pPr>
      <w:rPr>
        <w:rFonts w:hint="eastAsia"/>
        <w:color w:val="000000"/>
      </w:rPr>
    </w:lvl>
  </w:abstractNum>
  <w:abstractNum w:abstractNumId="67">
    <w:nsid w:val="60C03E91"/>
    <w:multiLevelType w:val="singleLevel"/>
    <w:tmpl w:val="60C03E91"/>
    <w:lvl w:ilvl="0">
      <w:start w:val="2"/>
      <w:numFmt w:val="chineseCounting"/>
      <w:suff w:val="nothing"/>
      <w:lvlText w:val="%1、"/>
      <w:lvlJc w:val="left"/>
      <w:pPr>
        <w:ind w:left="0" w:firstLine="420"/>
      </w:pPr>
      <w:rPr>
        <w:rFonts w:hint="eastAsia"/>
        <w:color w:val="000000"/>
      </w:rPr>
    </w:lvl>
  </w:abstractNum>
  <w:abstractNum w:abstractNumId="68">
    <w:nsid w:val="60C03EC3"/>
    <w:multiLevelType w:val="singleLevel"/>
    <w:tmpl w:val="60C03EC3"/>
    <w:lvl w:ilvl="0">
      <w:start w:val="3"/>
      <w:numFmt w:val="chineseCounting"/>
      <w:suff w:val="nothing"/>
      <w:lvlText w:val="%1、"/>
      <w:lvlJc w:val="left"/>
      <w:pPr>
        <w:ind w:left="0" w:firstLine="420"/>
      </w:pPr>
      <w:rPr>
        <w:rFonts w:hint="eastAsia"/>
        <w:color w:val="000000"/>
      </w:rPr>
    </w:lvl>
  </w:abstractNum>
  <w:abstractNum w:abstractNumId="69">
    <w:nsid w:val="60C03ED7"/>
    <w:multiLevelType w:val="singleLevel"/>
    <w:tmpl w:val="60C03ED7"/>
    <w:lvl w:ilvl="0">
      <w:start w:val="1"/>
      <w:numFmt w:val="chineseCounting"/>
      <w:suff w:val="nothing"/>
      <w:lvlText w:val="（%1）"/>
      <w:lvlJc w:val="left"/>
      <w:pPr>
        <w:ind w:left="0" w:firstLine="420"/>
      </w:pPr>
      <w:rPr>
        <w:rFonts w:hint="eastAsia"/>
        <w:color w:val="000000"/>
      </w:rPr>
    </w:lvl>
  </w:abstractNum>
  <w:abstractNum w:abstractNumId="70">
    <w:nsid w:val="60C03F05"/>
    <w:multiLevelType w:val="singleLevel"/>
    <w:tmpl w:val="60C03F05"/>
    <w:lvl w:ilvl="0">
      <w:start w:val="1"/>
      <w:numFmt w:val="decimal"/>
      <w:suff w:val="nothing"/>
      <w:lvlText w:val="%1．"/>
      <w:lvlJc w:val="left"/>
      <w:pPr>
        <w:ind w:left="0" w:firstLine="400"/>
      </w:pPr>
      <w:rPr>
        <w:rFonts w:hint="default"/>
        <w:color w:val="000000"/>
      </w:rPr>
    </w:lvl>
  </w:abstractNum>
  <w:abstractNum w:abstractNumId="71">
    <w:nsid w:val="60C03F2E"/>
    <w:multiLevelType w:val="singleLevel"/>
    <w:tmpl w:val="60C03F2E"/>
    <w:lvl w:ilvl="0">
      <w:start w:val="4"/>
      <w:numFmt w:val="chineseCounting"/>
      <w:suff w:val="nothing"/>
      <w:lvlText w:val="（%1）"/>
      <w:lvlJc w:val="left"/>
      <w:pPr>
        <w:ind w:left="0" w:firstLine="420"/>
      </w:pPr>
      <w:rPr>
        <w:rFonts w:hint="eastAsia"/>
        <w:color w:val="000000"/>
      </w:rPr>
    </w:lvl>
  </w:abstractNum>
  <w:abstractNum w:abstractNumId="72">
    <w:nsid w:val="60C03F4B"/>
    <w:multiLevelType w:val="singleLevel"/>
    <w:tmpl w:val="60C03F4B"/>
    <w:lvl w:ilvl="0">
      <w:start w:val="1"/>
      <w:numFmt w:val="chineseCounting"/>
      <w:suff w:val="nothing"/>
      <w:lvlText w:val="（%1）"/>
      <w:lvlJc w:val="left"/>
      <w:pPr>
        <w:ind w:left="0" w:firstLine="420"/>
      </w:pPr>
      <w:rPr>
        <w:rFonts w:hint="eastAsia"/>
        <w:color w:val="000000"/>
      </w:rPr>
    </w:lvl>
  </w:abstractNum>
  <w:abstractNum w:abstractNumId="73">
    <w:nsid w:val="61CBC088"/>
    <w:multiLevelType w:val="singleLevel"/>
    <w:tmpl w:val="61CBC088"/>
    <w:lvl w:ilvl="0">
      <w:start w:val="1"/>
      <w:numFmt w:val="chineseCounting"/>
      <w:suff w:val="nothing"/>
      <w:lvlText w:val="（%1）"/>
      <w:lvlJc w:val="left"/>
      <w:pPr>
        <w:ind w:left="0" w:firstLine="420"/>
      </w:pPr>
      <w:rPr>
        <w:rFonts w:hint="eastAsia"/>
        <w:b w:val="0"/>
        <w:bCs w:val="0"/>
        <w:color w:val="000000"/>
      </w:rPr>
    </w:lvl>
  </w:abstractNum>
  <w:abstractNum w:abstractNumId="74">
    <w:nsid w:val="61CBC11F"/>
    <w:multiLevelType w:val="singleLevel"/>
    <w:tmpl w:val="61CBC11F"/>
    <w:lvl w:ilvl="0">
      <w:start w:val="1"/>
      <w:numFmt w:val="chineseCounting"/>
      <w:suff w:val="nothing"/>
      <w:lvlText w:val="（%1）"/>
      <w:lvlJc w:val="left"/>
      <w:pPr>
        <w:ind w:left="0" w:firstLine="420"/>
      </w:pPr>
      <w:rPr>
        <w:rFonts w:hint="eastAsia"/>
        <w:color w:val="000000"/>
      </w:rPr>
    </w:lvl>
  </w:abstractNum>
  <w:abstractNum w:abstractNumId="75">
    <w:nsid w:val="61CBC1A0"/>
    <w:multiLevelType w:val="singleLevel"/>
    <w:tmpl w:val="61CBC1A0"/>
    <w:lvl w:ilvl="0">
      <w:start w:val="1"/>
      <w:numFmt w:val="chineseCounting"/>
      <w:suff w:val="nothing"/>
      <w:lvlText w:val="（%1）"/>
      <w:lvlJc w:val="left"/>
      <w:pPr>
        <w:ind w:left="0" w:firstLine="420"/>
      </w:pPr>
      <w:rPr>
        <w:rFonts w:hint="eastAsia"/>
        <w:color w:val="000000"/>
      </w:rPr>
    </w:lvl>
  </w:abstractNum>
  <w:abstractNum w:abstractNumId="76">
    <w:nsid w:val="61CBC209"/>
    <w:multiLevelType w:val="singleLevel"/>
    <w:tmpl w:val="61CBC209"/>
    <w:lvl w:ilvl="0">
      <w:start w:val="1"/>
      <w:numFmt w:val="chineseCounting"/>
      <w:suff w:val="nothing"/>
      <w:lvlText w:val="（%1）"/>
      <w:lvlJc w:val="left"/>
      <w:pPr>
        <w:ind w:left="0" w:firstLine="420"/>
      </w:pPr>
      <w:rPr>
        <w:rFonts w:hint="eastAsia"/>
        <w:color w:val="000000"/>
      </w:rPr>
    </w:lvl>
  </w:abstractNum>
  <w:abstractNum w:abstractNumId="77">
    <w:nsid w:val="61CBC248"/>
    <w:multiLevelType w:val="singleLevel"/>
    <w:tmpl w:val="61CBC248"/>
    <w:lvl w:ilvl="0">
      <w:start w:val="2"/>
      <w:numFmt w:val="chineseCounting"/>
      <w:suff w:val="nothing"/>
      <w:lvlText w:val="（%1）"/>
      <w:lvlJc w:val="left"/>
      <w:pPr>
        <w:ind w:left="0" w:firstLine="420"/>
      </w:pPr>
      <w:rPr>
        <w:rFonts w:hint="eastAsia"/>
        <w:color w:val="000000"/>
      </w:rPr>
    </w:lvl>
  </w:abstractNum>
  <w:abstractNum w:abstractNumId="78">
    <w:nsid w:val="61CBC28E"/>
    <w:multiLevelType w:val="singleLevel"/>
    <w:tmpl w:val="61CBC28E"/>
    <w:lvl w:ilvl="0">
      <w:start w:val="1"/>
      <w:numFmt w:val="chineseCounting"/>
      <w:suff w:val="nothing"/>
      <w:lvlText w:val="（%1）"/>
      <w:lvlJc w:val="left"/>
      <w:pPr>
        <w:ind w:left="0" w:firstLine="420"/>
      </w:pPr>
      <w:rPr>
        <w:rFonts w:hint="eastAsia"/>
        <w:color w:val="000000"/>
      </w:rPr>
    </w:lvl>
  </w:abstractNum>
  <w:abstractNum w:abstractNumId="79">
    <w:nsid w:val="61F30F62"/>
    <w:multiLevelType w:val="singleLevel"/>
    <w:tmpl w:val="61F30F62"/>
    <w:lvl w:ilvl="0">
      <w:start w:val="1"/>
      <w:numFmt w:val="decimal"/>
      <w:suff w:val="nothing"/>
      <w:lvlText w:val="（%1）"/>
      <w:lvlJc w:val="left"/>
      <w:rPr>
        <w:rFonts w:hint="default"/>
        <w:b w:val="0"/>
        <w:bCs w:val="0"/>
        <w:color w:val="000000"/>
      </w:rPr>
    </w:lvl>
  </w:abstractNum>
  <w:abstractNum w:abstractNumId="80">
    <w:nsid w:val="69C07A9C"/>
    <w:multiLevelType w:val="singleLevel"/>
    <w:tmpl w:val="69C07A9C"/>
    <w:lvl w:ilvl="0">
      <w:start w:val="1"/>
      <w:numFmt w:val="lowerLetter"/>
      <w:suff w:val="space"/>
      <w:lvlText w:val="%1."/>
      <w:lvlJc w:val="left"/>
      <w:rPr>
        <w:color w:val="000000"/>
      </w:rPr>
    </w:lvl>
  </w:abstractNum>
  <w:abstractNum w:abstractNumId="81">
    <w:nsid w:val="6BA7AFBC"/>
    <w:multiLevelType w:val="singleLevel"/>
    <w:tmpl w:val="6BA7AFBC"/>
    <w:lvl w:ilvl="0">
      <w:start w:val="1"/>
      <w:numFmt w:val="chineseCounting"/>
      <w:suff w:val="nothing"/>
      <w:lvlText w:val="（%1）"/>
      <w:lvlJc w:val="left"/>
      <w:pPr>
        <w:ind w:left="0" w:firstLine="420"/>
      </w:pPr>
      <w:rPr>
        <w:rFonts w:hint="eastAsia"/>
        <w:color w:val="000000"/>
      </w:rPr>
    </w:lvl>
  </w:abstractNum>
  <w:abstractNum w:abstractNumId="82">
    <w:nsid w:val="75D2544F"/>
    <w:multiLevelType w:val="singleLevel"/>
    <w:tmpl w:val="75D2544F"/>
    <w:lvl w:ilvl="0">
      <w:start w:val="1"/>
      <w:numFmt w:val="chineseCounting"/>
      <w:suff w:val="nothing"/>
      <w:lvlText w:val="（%1）"/>
      <w:lvlJc w:val="left"/>
      <w:pPr>
        <w:ind w:left="0" w:firstLine="420"/>
      </w:pPr>
      <w:rPr>
        <w:rFonts w:hint="eastAsia"/>
        <w:b/>
        <w:bCs/>
        <w:color w:val="000000"/>
      </w:rPr>
    </w:lvl>
  </w:abstractNum>
  <w:abstractNum w:abstractNumId="83">
    <w:nsid w:val="79A7505F"/>
    <w:multiLevelType w:val="singleLevel"/>
    <w:tmpl w:val="79A7505F"/>
    <w:lvl w:ilvl="0">
      <w:start w:val="2"/>
      <w:numFmt w:val="chineseCounting"/>
      <w:suff w:val="nothing"/>
      <w:lvlText w:val="（%1）"/>
      <w:lvlJc w:val="left"/>
      <w:pPr>
        <w:ind w:left="0" w:firstLine="420"/>
      </w:pPr>
      <w:rPr>
        <w:rFonts w:hint="eastAsia"/>
        <w:b/>
        <w:bCs/>
        <w:color w:val="000000"/>
      </w:rPr>
    </w:lvl>
  </w:abstractNum>
  <w:abstractNum w:abstractNumId="84">
    <w:nsid w:val="7FFFB0BA"/>
    <w:multiLevelType w:val="multilevel"/>
    <w:tmpl w:val="7FFFB0BA"/>
    <w:lvl w:ilvl="0">
      <w:start w:val="1"/>
      <w:numFmt w:val="chineseCounting"/>
      <w:suff w:val="nothing"/>
      <w:lvlText w:val="（%1）"/>
      <w:lvlJc w:val="left"/>
      <w:pPr>
        <w:ind w:left="0" w:firstLine="420"/>
      </w:pPr>
      <w:rPr>
        <w:rFonts w:ascii="宋体" w:eastAsia="宋体" w:hAnsi="宋体" w:cs="宋体" w:hint="eastAsia"/>
        <w:color w:val="000000"/>
      </w:rPr>
    </w:lvl>
    <w:lvl w:ilvl="1">
      <w:start w:val="1"/>
      <w:numFmt w:val="decimal"/>
      <w:lvlText w:val="%2."/>
      <w:lvlJc w:val="left"/>
      <w:pPr>
        <w:tabs>
          <w:tab w:val="left" w:pos="1440"/>
        </w:tabs>
        <w:ind w:left="1440" w:firstLine="65176"/>
      </w:pPr>
    </w:lvl>
    <w:lvl w:ilvl="2">
      <w:start w:val="1"/>
      <w:numFmt w:val="decimal"/>
      <w:lvlText w:val="%3."/>
      <w:lvlJc w:val="left"/>
      <w:pPr>
        <w:tabs>
          <w:tab w:val="left" w:pos="2160"/>
        </w:tabs>
        <w:ind w:left="2160" w:firstLine="65176"/>
      </w:pPr>
    </w:lvl>
    <w:lvl w:ilvl="3">
      <w:start w:val="1"/>
      <w:numFmt w:val="decimal"/>
      <w:lvlText w:val="%4."/>
      <w:lvlJc w:val="left"/>
      <w:pPr>
        <w:tabs>
          <w:tab w:val="left" w:pos="2880"/>
        </w:tabs>
        <w:ind w:left="2880" w:firstLine="65176"/>
      </w:pPr>
    </w:lvl>
    <w:lvl w:ilvl="4">
      <w:start w:val="1"/>
      <w:numFmt w:val="decimal"/>
      <w:lvlText w:val="%5."/>
      <w:lvlJc w:val="left"/>
      <w:pPr>
        <w:tabs>
          <w:tab w:val="left" w:pos="3600"/>
        </w:tabs>
        <w:ind w:left="3600" w:firstLine="65176"/>
      </w:pPr>
    </w:lvl>
    <w:lvl w:ilvl="5">
      <w:start w:val="1"/>
      <w:numFmt w:val="decimal"/>
      <w:lvlText w:val="%6."/>
      <w:lvlJc w:val="left"/>
      <w:pPr>
        <w:tabs>
          <w:tab w:val="left" w:pos="4320"/>
        </w:tabs>
        <w:ind w:left="4320" w:firstLine="65176"/>
      </w:pPr>
    </w:lvl>
    <w:lvl w:ilvl="6">
      <w:start w:val="1"/>
      <w:numFmt w:val="decimal"/>
      <w:lvlText w:val="%7."/>
      <w:lvlJc w:val="left"/>
      <w:pPr>
        <w:tabs>
          <w:tab w:val="left" w:pos="5040"/>
        </w:tabs>
        <w:ind w:left="5040" w:firstLine="65176"/>
      </w:pPr>
    </w:lvl>
    <w:lvl w:ilvl="7">
      <w:start w:val="1"/>
      <w:numFmt w:val="decimal"/>
      <w:lvlText w:val="%8."/>
      <w:lvlJc w:val="left"/>
      <w:pPr>
        <w:tabs>
          <w:tab w:val="left" w:pos="5760"/>
        </w:tabs>
        <w:ind w:left="5760" w:firstLine="65176"/>
      </w:pPr>
    </w:lvl>
    <w:lvl w:ilvl="8">
      <w:start w:val="1"/>
      <w:numFmt w:val="decimal"/>
      <w:lvlText w:val="%9."/>
      <w:lvlJc w:val="left"/>
      <w:pPr>
        <w:tabs>
          <w:tab w:val="left" w:pos="6480"/>
        </w:tabs>
        <w:ind w:left="6480" w:firstLine="65176"/>
      </w:pPr>
    </w:lvl>
  </w:abstractNum>
  <w:num w:numId="1">
    <w:abstractNumId w:val="14"/>
  </w:num>
  <w:num w:numId="2">
    <w:abstractNumId w:val="1"/>
  </w:num>
  <w:num w:numId="3">
    <w:abstractNumId w:val="50"/>
  </w:num>
  <w:num w:numId="4">
    <w:abstractNumId w:val="42"/>
  </w:num>
  <w:num w:numId="5">
    <w:abstractNumId w:val="84"/>
  </w:num>
  <w:num w:numId="6">
    <w:abstractNumId w:val="82"/>
  </w:num>
  <w:num w:numId="7">
    <w:abstractNumId w:val="37"/>
  </w:num>
  <w:num w:numId="8">
    <w:abstractNumId w:val="83"/>
  </w:num>
  <w:num w:numId="9">
    <w:abstractNumId w:val="56"/>
  </w:num>
  <w:num w:numId="10">
    <w:abstractNumId w:val="52"/>
  </w:num>
  <w:num w:numId="11">
    <w:abstractNumId w:val="32"/>
  </w:num>
  <w:num w:numId="12">
    <w:abstractNumId w:val="29"/>
  </w:num>
  <w:num w:numId="13">
    <w:abstractNumId w:val="38"/>
  </w:num>
  <w:num w:numId="14">
    <w:abstractNumId w:val="28"/>
  </w:num>
  <w:num w:numId="15">
    <w:abstractNumId w:val="20"/>
  </w:num>
  <w:num w:numId="16">
    <w:abstractNumId w:val="11"/>
  </w:num>
  <w:num w:numId="17">
    <w:abstractNumId w:val="17"/>
  </w:num>
  <w:num w:numId="18">
    <w:abstractNumId w:val="8"/>
  </w:num>
  <w:num w:numId="19">
    <w:abstractNumId w:val="9"/>
  </w:num>
  <w:num w:numId="20">
    <w:abstractNumId w:val="7"/>
  </w:num>
  <w:num w:numId="21">
    <w:abstractNumId w:val="33"/>
  </w:num>
  <w:num w:numId="22">
    <w:abstractNumId w:val="51"/>
  </w:num>
  <w:num w:numId="23">
    <w:abstractNumId w:val="31"/>
  </w:num>
  <w:num w:numId="24">
    <w:abstractNumId w:val="53"/>
  </w:num>
  <w:num w:numId="25">
    <w:abstractNumId w:val="58"/>
  </w:num>
  <w:num w:numId="26">
    <w:abstractNumId w:val="80"/>
  </w:num>
  <w:num w:numId="27">
    <w:abstractNumId w:val="44"/>
  </w:num>
  <w:num w:numId="28">
    <w:abstractNumId w:val="19"/>
  </w:num>
  <w:num w:numId="29">
    <w:abstractNumId w:val="43"/>
  </w:num>
  <w:num w:numId="30">
    <w:abstractNumId w:val="22"/>
  </w:num>
  <w:num w:numId="31">
    <w:abstractNumId w:val="6"/>
  </w:num>
  <w:num w:numId="32">
    <w:abstractNumId w:val="55"/>
  </w:num>
  <w:num w:numId="33">
    <w:abstractNumId w:val="5"/>
  </w:num>
  <w:num w:numId="34">
    <w:abstractNumId w:val="36"/>
  </w:num>
  <w:num w:numId="35">
    <w:abstractNumId w:val="41"/>
  </w:num>
  <w:num w:numId="36">
    <w:abstractNumId w:val="81"/>
  </w:num>
  <w:num w:numId="37">
    <w:abstractNumId w:val="35"/>
  </w:num>
  <w:num w:numId="38">
    <w:abstractNumId w:val="21"/>
  </w:num>
  <w:num w:numId="39">
    <w:abstractNumId w:val="46"/>
  </w:num>
  <w:num w:numId="40">
    <w:abstractNumId w:val="0"/>
  </w:num>
  <w:num w:numId="41">
    <w:abstractNumId w:val="24"/>
  </w:num>
  <w:num w:numId="42">
    <w:abstractNumId w:val="49"/>
  </w:num>
  <w:num w:numId="43">
    <w:abstractNumId w:val="3"/>
  </w:num>
  <w:num w:numId="44">
    <w:abstractNumId w:val="25"/>
  </w:num>
  <w:num w:numId="45">
    <w:abstractNumId w:val="34"/>
  </w:num>
  <w:num w:numId="46">
    <w:abstractNumId w:val="54"/>
  </w:num>
  <w:num w:numId="47">
    <w:abstractNumId w:val="39"/>
  </w:num>
  <w:num w:numId="48">
    <w:abstractNumId w:val="18"/>
  </w:num>
  <w:num w:numId="49">
    <w:abstractNumId w:val="30"/>
  </w:num>
  <w:num w:numId="50">
    <w:abstractNumId w:val="26"/>
  </w:num>
  <w:num w:numId="51">
    <w:abstractNumId w:val="27"/>
  </w:num>
  <w:num w:numId="52">
    <w:abstractNumId w:val="79"/>
  </w:num>
  <w:num w:numId="53">
    <w:abstractNumId w:val="45"/>
  </w:num>
  <w:num w:numId="54">
    <w:abstractNumId w:val="2"/>
  </w:num>
  <w:num w:numId="55">
    <w:abstractNumId w:val="57"/>
  </w:num>
  <w:num w:numId="56">
    <w:abstractNumId w:val="12"/>
  </w:num>
  <w:num w:numId="57">
    <w:abstractNumId w:val="10"/>
  </w:num>
  <w:num w:numId="58">
    <w:abstractNumId w:val="13"/>
  </w:num>
  <w:num w:numId="59">
    <w:abstractNumId w:val="40"/>
  </w:num>
  <w:num w:numId="60">
    <w:abstractNumId w:val="23"/>
  </w:num>
  <w:num w:numId="61">
    <w:abstractNumId w:val="4"/>
  </w:num>
  <w:num w:numId="62">
    <w:abstractNumId w:val="48"/>
  </w:num>
  <w:num w:numId="63">
    <w:abstractNumId w:val="66"/>
  </w:num>
  <w:num w:numId="64">
    <w:abstractNumId w:val="65"/>
  </w:num>
  <w:num w:numId="65">
    <w:abstractNumId w:val="67"/>
  </w:num>
  <w:num w:numId="66">
    <w:abstractNumId w:val="68"/>
  </w:num>
  <w:num w:numId="67">
    <w:abstractNumId w:val="69"/>
  </w:num>
  <w:num w:numId="68">
    <w:abstractNumId w:val="70"/>
  </w:num>
  <w:num w:numId="69">
    <w:abstractNumId w:val="71"/>
  </w:num>
  <w:num w:numId="70">
    <w:abstractNumId w:val="72"/>
  </w:num>
  <w:num w:numId="71">
    <w:abstractNumId w:val="47"/>
  </w:num>
  <w:num w:numId="72">
    <w:abstractNumId w:val="16"/>
  </w:num>
  <w:num w:numId="73">
    <w:abstractNumId w:val="59"/>
  </w:num>
  <w:num w:numId="74">
    <w:abstractNumId w:val="60"/>
  </w:num>
  <w:num w:numId="75">
    <w:abstractNumId w:val="61"/>
  </w:num>
  <w:num w:numId="76">
    <w:abstractNumId w:val="62"/>
  </w:num>
  <w:num w:numId="77">
    <w:abstractNumId w:val="63"/>
  </w:num>
  <w:num w:numId="78">
    <w:abstractNumId w:val="64"/>
  </w:num>
  <w:num w:numId="79">
    <w:abstractNumId w:val="73"/>
  </w:num>
  <w:num w:numId="80">
    <w:abstractNumId w:val="74"/>
  </w:num>
  <w:num w:numId="81">
    <w:abstractNumId w:val="15"/>
  </w:num>
  <w:num w:numId="82">
    <w:abstractNumId w:val="75"/>
  </w:num>
  <w:num w:numId="83">
    <w:abstractNumId w:val="76"/>
  </w:num>
  <w:num w:numId="84">
    <w:abstractNumId w:val="77"/>
  </w:num>
  <w:num w:numId="85">
    <w:abstractNumId w:val="7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胡海涛">
    <w15:presenceInfo w15:providerId="None" w15:userId="胡海涛"/>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9FD01BC3"/>
    <w:rsid w:val="B3FE25BF"/>
    <w:rsid w:val="BB4D7552"/>
    <w:rsid w:val="BE4708A8"/>
    <w:rsid w:val="BE6E0F8F"/>
    <w:rsid w:val="C679D4D5"/>
    <w:rsid w:val="CFBF7AEB"/>
    <w:rsid w:val="D3FFF2E3"/>
    <w:rsid w:val="D4B948F0"/>
    <w:rsid w:val="D7BE90C3"/>
    <w:rsid w:val="DDB23A0A"/>
    <w:rsid w:val="F3F331A4"/>
    <w:rsid w:val="F3FF81F7"/>
    <w:rsid w:val="F7FE62B6"/>
    <w:rsid w:val="FA543BA3"/>
    <w:rsid w:val="FD7F9463"/>
    <w:rsid w:val="FEAED78B"/>
    <w:rsid w:val="FFB737C4"/>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AFD2178"/>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782AA"/>
    <w:rsid w:val="5ADE2855"/>
    <w:rsid w:val="5B056CAE"/>
    <w:rsid w:val="5C664A4B"/>
    <w:rsid w:val="5CE67D31"/>
    <w:rsid w:val="5E5F4050"/>
    <w:rsid w:val="5F04726A"/>
    <w:rsid w:val="5F6D37D2"/>
    <w:rsid w:val="5F9C081D"/>
    <w:rsid w:val="606677EA"/>
    <w:rsid w:val="60F34C3C"/>
    <w:rsid w:val="617668BD"/>
    <w:rsid w:val="61D01645"/>
    <w:rsid w:val="6367DD6B"/>
    <w:rsid w:val="63723353"/>
    <w:rsid w:val="64164D78"/>
    <w:rsid w:val="64993141"/>
    <w:rsid w:val="659F27EB"/>
    <w:rsid w:val="659F600E"/>
    <w:rsid w:val="66C5880C"/>
    <w:rsid w:val="67CE6661"/>
    <w:rsid w:val="680A5A06"/>
    <w:rsid w:val="68B9403E"/>
    <w:rsid w:val="68D511B9"/>
    <w:rsid w:val="68FA6041"/>
    <w:rsid w:val="69827CEE"/>
    <w:rsid w:val="6BDE71F2"/>
    <w:rsid w:val="6C9577EB"/>
    <w:rsid w:val="6CBA3A99"/>
    <w:rsid w:val="6D3A1203"/>
    <w:rsid w:val="6E9C369D"/>
    <w:rsid w:val="6EF41B11"/>
    <w:rsid w:val="702573F3"/>
    <w:rsid w:val="70B57531"/>
    <w:rsid w:val="70FA499F"/>
    <w:rsid w:val="730C182D"/>
    <w:rsid w:val="73FC9A3F"/>
    <w:rsid w:val="751974A1"/>
    <w:rsid w:val="758B30E4"/>
    <w:rsid w:val="75F42331"/>
    <w:rsid w:val="761F7C3C"/>
    <w:rsid w:val="76683D2A"/>
    <w:rsid w:val="76C62D9E"/>
    <w:rsid w:val="78244617"/>
    <w:rsid w:val="7A923507"/>
    <w:rsid w:val="7ACB640D"/>
    <w:rsid w:val="7BFD65FF"/>
    <w:rsid w:val="7BFF1A29"/>
    <w:rsid w:val="7C044D89"/>
    <w:rsid w:val="7C63442B"/>
    <w:rsid w:val="7D3AA22F"/>
    <w:rsid w:val="7DE35ECA"/>
    <w:rsid w:val="7E1A0C5A"/>
    <w:rsid w:val="7E3212D3"/>
    <w:rsid w:val="7F5F887D"/>
    <w:rsid w:val="7FCC7D05"/>
    <w:rsid w:val="7FEB219B"/>
    <w:rsid w:val="7FEF42B8"/>
    <w:rsid w:val="7FFF7284"/>
  </w:rsids>
  <w:docVars>
    <w:docVar w:name="commondata" w:val="eyJoZGlkIjoiZmM5ZjUwYzE3NDdkZDY1ZTUwZTQwZTM5ODM0MmI1ZGMifQ=="/>
    <w:docVar w:name="KSO_WPS_MARK_KEY" w:val="7d0c4fc6-43cc-4bf7-81fa-344b25226340"/>
  </w:docVars>
  <w:themeFontLang w:val="en-US" w:eastAsia="zh-CN"/>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lsdException w:name="annotation subject" w:semiHidden="0" w:uiPriority="0" w:unhideWhenUsed="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uiPriority="0" w:unhideWhenUsed="0"/>
    <w:lsdException w:name="Table Grid" w:semiHidden="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黑体"/>
      <w:kern w:val="2"/>
      <w:sz w:val="21"/>
      <w:szCs w:val="24"/>
      <w:lang w:val="en-US" w:eastAsia="zh-CN" w:bidi="ar-SA"/>
    </w:rPr>
  </w:style>
  <w:style w:type="paragraph" w:styleId="Heading1">
    <w:name w:val="heading 1"/>
    <w:basedOn w:val="Normal"/>
    <w:next w:val="Normal"/>
    <w:link w:val="1Char"/>
    <w:qFormat/>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Heading2">
    <w:name w:val="heading 2"/>
    <w:basedOn w:val="Normal"/>
    <w:next w:val="Normal"/>
    <w:link w:val="2Char"/>
    <w:semiHidden/>
    <w:unhideWhenUsed/>
    <w:qFormat/>
    <w:pPr>
      <w:keepNext/>
      <w:keepLines/>
      <w:spacing w:before="20" w:beforeLines="0" w:beforeAutospacing="0" w:after="20" w:afterLines="0" w:afterAutospacing="0" w:line="240" w:lineRule="auto"/>
      <w:outlineLvl w:val="1"/>
    </w:pPr>
    <w:rPr>
      <w:rFonts w:ascii="Arial" w:eastAsia="宋体" w:hAnsi="Arial"/>
      <w:b/>
      <w:sz w:val="24"/>
    </w:rPr>
  </w:style>
  <w:style w:type="paragraph" w:styleId="Heading3">
    <w:name w:val="heading 3"/>
    <w:basedOn w:val="Normal"/>
    <w:next w:val="Normal"/>
    <w:link w:val="3Char"/>
    <w:semiHidden/>
    <w:unhideWhenUsed/>
    <w:qFormat/>
    <w:pPr>
      <w:keepNext/>
      <w:keepLines/>
      <w:spacing w:before="20" w:beforeLines="0" w:beforeAutospacing="0" w:after="20" w:afterLines="0" w:afterAutospacing="0" w:line="360" w:lineRule="auto"/>
      <w:outlineLvl w:val="2"/>
    </w:pPr>
    <w:rPr>
      <w:rFonts w:eastAsia="宋体" w:hAnsi="Calibri"/>
      <w:b/>
      <w:sz w:val="24"/>
    </w:rPr>
  </w:style>
  <w:style w:type="character" w:default="1" w:styleId="DefaultParagraphFont">
    <w:name w:val="Default Paragraph Font"/>
    <w:semiHidden/>
    <w:qFormat/>
  </w:style>
  <w:style w:type="table" w:default="1" w:styleId="TableNormal">
    <w:name w:val="Normal Table"/>
    <w:uiPriority w:val="99"/>
    <w:unhideWhenUsed/>
    <w:tblPr>
      <w:tblCellMar>
        <w:top w:w="0" w:type="dxa"/>
        <w:left w:w="108" w:type="dxa"/>
        <w:bottom w:w="0" w:type="dxa"/>
        <w:right w:w="108" w:type="dxa"/>
      </w:tblCellMar>
    </w:tblPr>
  </w:style>
  <w:style w:type="paragraph" w:styleId="CommentText">
    <w:name w:val="annotation text"/>
    <w:basedOn w:val="Normal"/>
    <w:link w:val="Char"/>
    <w:pPr>
      <w:jc w:val="left"/>
    </w:pPr>
  </w:style>
  <w:style w:type="paragraph" w:styleId="BalloonText">
    <w:name w:val="Balloon Text"/>
    <w:basedOn w:val="Normal"/>
    <w:link w:val="Char1"/>
    <w:rPr>
      <w:sz w:val="18"/>
      <w:szCs w:val="18"/>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NormalWeb">
    <w:name w:val="Normal (Web)"/>
    <w:basedOn w:val="Normal"/>
    <w:qFormat/>
    <w:rPr>
      <w:sz w:val="24"/>
    </w:rPr>
  </w:style>
  <w:style w:type="paragraph" w:styleId="CommentSubject">
    <w:name w:val="annotation subject"/>
    <w:basedOn w:val="CommentText"/>
    <w:next w:val="CommentText"/>
    <w:link w:val="Char0"/>
    <w:rPr>
      <w:b/>
      <w:bCs/>
    </w:rPr>
  </w:style>
  <w:style w:type="table" w:styleId="TableGrid">
    <w:name w:val="Table Grid"/>
    <w:basedOn w:val="TableNormal"/>
    <w:uiPriority w:val="99"/>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qFormat/>
    <w:rPr>
      <w:color w:val="0000FF"/>
      <w:u w:val="single"/>
    </w:rPr>
  </w:style>
  <w:style w:type="character" w:styleId="CommentReference">
    <w:name w:val="annotation reference"/>
    <w:rPr>
      <w:sz w:val="21"/>
      <w:szCs w:val="21"/>
    </w:rPr>
  </w:style>
  <w:style w:type="character" w:customStyle="1" w:styleId="a">
    <w:name w:val="批注文字 字符"/>
    <w:link w:val="CommentText"/>
    <w:rPr>
      <w:rFonts w:ascii="Calibri" w:hAnsi="Calibri" w:cs="黑体"/>
      <w:kern w:val="2"/>
      <w:sz w:val="21"/>
      <w:szCs w:val="24"/>
    </w:rPr>
  </w:style>
  <w:style w:type="character" w:customStyle="1" w:styleId="a0">
    <w:name w:val="批注框文本 字符"/>
    <w:link w:val="BalloonText"/>
    <w:rPr>
      <w:rFonts w:ascii="Calibri" w:hAnsi="Calibri" w:cs="黑体"/>
      <w:kern w:val="2"/>
      <w:sz w:val="18"/>
      <w:szCs w:val="18"/>
    </w:rPr>
  </w:style>
  <w:style w:type="character" w:customStyle="1" w:styleId="a1">
    <w:name w:val="批注主题 字符"/>
    <w:link w:val="CommentSubject"/>
    <w:rPr>
      <w:rFonts w:ascii="Calibri" w:hAnsi="Calibri" w:cs="黑体"/>
      <w:b/>
      <w:bCs/>
      <w:kern w:val="2"/>
      <w:sz w:val="21"/>
      <w:szCs w:val="24"/>
    </w:rPr>
  </w:style>
  <w:style w:type="paragraph" w:customStyle="1" w:styleId="ListParagraph">
    <w:name w:val="List Paragraph"/>
    <w:basedOn w:val="Normal"/>
    <w:uiPriority w:val="99"/>
    <w:unhideWhenUsed/>
    <w:pPr>
      <w:ind w:firstLine="420" w:firstLineChars="200"/>
    </w:pPr>
  </w:style>
  <w:style w:type="paragraph" w:customStyle="1" w:styleId="Default">
    <w:name w:val="Default"/>
    <w:qFormat/>
    <w:pPr>
      <w:widowControl w:val="0"/>
      <w:autoSpaceDE w:val="0"/>
      <w:autoSpaceDN w:val="0"/>
      <w:adjustRightInd w:val="0"/>
    </w:pPr>
    <w:rPr>
      <w:rFonts w:ascii="Times New Roman" w:eastAsia="宋体" w:hAnsi="Times New Roman" w:cs="Times New Roman"/>
      <w:color w:val="000000"/>
      <w:sz w:val="24"/>
      <w:szCs w:val="24"/>
      <w:lang w:val="en-US" w:eastAsia="zh-CN" w:bidi="ar-SA"/>
    </w:rPr>
  </w:style>
  <w:style w:type="character" w:customStyle="1" w:styleId="Char">
    <w:name w:val="批注文字 Char"/>
    <w:link w:val="CommentText"/>
    <w:rPr>
      <w:rFonts w:ascii="Calibri" w:hAnsi="Calibri" w:cs="黑体"/>
      <w:kern w:val="2"/>
      <w:sz w:val="21"/>
      <w:szCs w:val="24"/>
    </w:rPr>
  </w:style>
  <w:style w:type="character" w:customStyle="1" w:styleId="Char0">
    <w:name w:val="批注主题 Char"/>
    <w:link w:val="CommentSubject"/>
    <w:rPr>
      <w:rFonts w:ascii="Calibri" w:hAnsi="Calibri" w:cs="黑体"/>
      <w:b/>
      <w:bCs/>
      <w:kern w:val="2"/>
      <w:sz w:val="21"/>
      <w:szCs w:val="24"/>
    </w:rPr>
  </w:style>
  <w:style w:type="character" w:customStyle="1" w:styleId="Char1">
    <w:name w:val="批注框文本 Char"/>
    <w:link w:val="BalloonText"/>
    <w:qFormat/>
    <w:rPr>
      <w:rFonts w:ascii="Calibri" w:hAnsi="Calibri" w:cs="黑体"/>
      <w:kern w:val="2"/>
      <w:sz w:val="18"/>
      <w:szCs w:val="18"/>
    </w:rPr>
  </w:style>
  <w:style w:type="paragraph" w:customStyle="1" w:styleId="1">
    <w:name w:val="样式1"/>
    <w:basedOn w:val="Normal"/>
    <w:next w:val="Normal"/>
    <w:qFormat/>
    <w:pPr>
      <w:keepNext/>
      <w:keepLines/>
      <w:spacing w:before="340" w:beforeLines="0" w:after="330" w:afterLines="0" w:line="576" w:lineRule="auto"/>
      <w:outlineLvl w:val="0"/>
    </w:pPr>
    <w:rPr>
      <w:rFonts w:hint="eastAsia"/>
      <w:b/>
      <w:kern w:val="44"/>
      <w:sz w:val="44"/>
    </w:rPr>
  </w:style>
  <w:style w:type="character" w:customStyle="1" w:styleId="2Char">
    <w:name w:val="标题 2 Char"/>
    <w:link w:val="Heading2"/>
    <w:qFormat/>
    <w:rPr>
      <w:rFonts w:ascii="Arial" w:eastAsia="宋体" w:hAnsi="Arial"/>
      <w:b/>
      <w:sz w:val="24"/>
    </w:rPr>
  </w:style>
  <w:style w:type="character" w:customStyle="1" w:styleId="3Char">
    <w:name w:val="标题 3 Char"/>
    <w:link w:val="Heading3"/>
    <w:qFormat/>
    <w:rPr>
      <w:rFonts w:eastAsia="宋体" w:hAnsi="Calibri"/>
      <w:b/>
      <w:sz w:val="24"/>
    </w:rPr>
  </w:style>
  <w:style w:type="character" w:customStyle="1" w:styleId="1Char">
    <w:name w:val="标题 1 Char"/>
    <w:link w:val="Heading1"/>
    <w:qFormat/>
    <w:rPr>
      <w:rFonts w:eastAsia="宋体"/>
      <w:b/>
      <w:kern w:val="44"/>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s="http://www.wps.cn/officeDocument/2013/wpsCustomData" xmln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Pages>67</Pages>
  <Words>33877</Words>
  <Characters>34745</Characters>
  <Application>Microsoft Office Word</Application>
  <DocSecurity>0</DocSecurity>
  <Lines>1</Lines>
  <Paragraphs>1</Paragraphs>
  <ScaleCrop>false</ScaleCrop>
  <Company/>
  <LinksUpToDate>false</LinksUpToDate>
  <CharactersWithSpaces>35110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未定义</cp:lastModifiedBy>
  <cp:revision>0</cp:revision>
  <dcterms:created xsi:type="dcterms:W3CDTF">2014-11-03T04:08:00Z</dcterms:created>
  <dcterms:modified xsi:type="dcterms:W3CDTF">2026-07-09T17:07:07Z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5AD0B180D395DA7FBB644F6A00EC6189_43</vt:lpwstr>
  </property>
  <property fmtid="{D5CDD505-2E9C-101B-9397-08002B2CF9AE}" pid="3" name="KSOProductBuildVer">
    <vt:lpwstr>2052-0.0.0.0</vt:lpwstr>
  </property>
</Properties>
</file>