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rPr>
          <w:color w:val="000000"/>
          <w:highlight w:val="none"/>
        </w:rPr>
      </w:pPr>
    </w:p>
    <w:p>
      <w:pPr>
        <w:jc w:val="center"/>
        <w:rPr>
          <w:rFonts w:hint="eastAsia" w:ascii="宋体" w:hAnsi="宋体" w:cs="宋体"/>
          <w:b/>
          <w:bCs/>
          <w:color w:val="000000"/>
          <w:sz w:val="44"/>
          <w:szCs w:val="44"/>
          <w:highlight w:val="none"/>
        </w:rPr>
      </w:pPr>
      <w:r>
        <w:rPr>
          <w:rFonts w:hint="eastAsia" w:ascii="宋体" w:hAnsi="宋体" w:eastAsia="宋体" w:cs="宋体"/>
          <w:b/>
          <w:bCs/>
          <w:color w:val="000000"/>
          <w:kern w:val="2"/>
          <w:sz w:val="44"/>
          <w:szCs w:val="44"/>
          <w:highlight w:val="none"/>
          <w:lang w:val="en-US" w:eastAsia="zh-CN" w:bidi="ar-SA"/>
        </w:rPr>
        <w:t>幸福99益合·添益（年年红）1年定开型2530期理财</w:t>
      </w:r>
      <w:r>
        <w:rPr>
          <w:rFonts w:hint="eastAsia" w:ascii="宋体" w:hAnsi="宋体" w:cs="宋体"/>
          <w:b/>
          <w:bCs/>
          <w:color w:val="000000"/>
          <w:sz w:val="44"/>
          <w:szCs w:val="44"/>
          <w:highlight w:val="none"/>
        </w:rPr>
        <w:t>合同</w:t>
      </w:r>
    </w:p>
    <w:p>
      <w:pPr>
        <w:jc w:val="center"/>
        <w:rPr>
          <w:rFonts w:hint="eastAsia" w:ascii="宋体" w:hAnsi="宋体" w:cs="宋体"/>
          <w:color w:val="000000"/>
          <w:sz w:val="44"/>
          <w:szCs w:val="44"/>
          <w:highlight w:val="none"/>
        </w:rPr>
      </w:pPr>
    </w:p>
    <w:p>
      <w:pPr>
        <w:jc w:val="center"/>
        <w:rPr>
          <w:rFonts w:hint="eastAsia" w:ascii="宋体" w:hAnsi="宋体" w:cs="宋体"/>
          <w:color w:val="000000"/>
          <w:sz w:val="44"/>
          <w:szCs w:val="44"/>
          <w:highlight w:val="none"/>
        </w:rPr>
      </w:pPr>
    </w:p>
    <w:p>
      <w:pPr>
        <w:jc w:val="center"/>
        <w:rPr>
          <w:rFonts w:hint="eastAsia" w:ascii="宋体" w:hAnsi="宋体" w:cs="宋体"/>
          <w:color w:val="000000"/>
          <w:sz w:val="44"/>
          <w:szCs w:val="44"/>
          <w:highlight w:val="none"/>
        </w:rPr>
      </w:pPr>
    </w:p>
    <w:p>
      <w:pPr>
        <w:jc w:val="center"/>
        <w:rPr>
          <w:rFonts w:hint="eastAsia" w:ascii="宋体" w:hAnsi="宋体" w:cs="宋体"/>
          <w:color w:val="000000"/>
          <w:sz w:val="44"/>
          <w:szCs w:val="44"/>
          <w:highlight w:val="none"/>
        </w:rPr>
      </w:pPr>
    </w:p>
    <w:p>
      <w:pPr>
        <w:jc w:val="center"/>
        <w:rPr>
          <w:rFonts w:hint="eastAsia" w:ascii="宋体" w:hAnsi="宋体" w:cs="宋体"/>
          <w:color w:val="000000"/>
          <w:sz w:val="44"/>
          <w:szCs w:val="44"/>
          <w:highlight w:val="none"/>
        </w:rPr>
      </w:pPr>
    </w:p>
    <w:p>
      <w:pPr>
        <w:jc w:val="center"/>
        <w:rPr>
          <w:rFonts w:hint="eastAsia" w:ascii="宋体" w:hAnsi="宋体" w:cs="宋体"/>
          <w:color w:val="000000"/>
          <w:sz w:val="44"/>
          <w:szCs w:val="44"/>
          <w:highlight w:val="none"/>
        </w:rPr>
      </w:pPr>
    </w:p>
    <w:p>
      <w:pPr>
        <w:jc w:val="center"/>
        <w:rPr>
          <w:rFonts w:hint="eastAsia" w:ascii="宋体" w:hAnsi="宋体" w:cs="宋体"/>
          <w:color w:val="000000"/>
          <w:sz w:val="44"/>
          <w:szCs w:val="44"/>
          <w:highlight w:val="none"/>
        </w:rPr>
      </w:pPr>
    </w:p>
    <w:p>
      <w:pPr>
        <w:jc w:val="center"/>
        <w:rPr>
          <w:rFonts w:hint="eastAsia" w:ascii="宋体" w:hAnsi="宋体" w:cs="宋体"/>
          <w:color w:val="000000"/>
          <w:sz w:val="32"/>
          <w:szCs w:val="32"/>
          <w:highlight w:val="none"/>
        </w:rPr>
      </w:pPr>
      <w:r>
        <w:rPr>
          <w:rFonts w:hint="eastAsia" w:ascii="宋体" w:hAnsi="宋体" w:cs="宋体"/>
          <w:color w:val="000000"/>
          <w:sz w:val="32"/>
          <w:szCs w:val="32"/>
          <w:highlight w:val="none"/>
        </w:rPr>
        <w:t>理财计划管理人：杭银理财有限责任公司</w:t>
      </w:r>
    </w:p>
    <w:p>
      <w:pPr>
        <w:ind w:firstLine="1280" w:firstLineChars="400"/>
        <w:jc w:val="left"/>
        <w:rPr>
          <w:rFonts w:hint="eastAsia" w:ascii="宋体" w:hAnsi="宋体" w:cs="宋体"/>
          <w:color w:val="000000"/>
          <w:sz w:val="32"/>
          <w:szCs w:val="32"/>
          <w:highlight w:val="none"/>
        </w:rPr>
      </w:pPr>
      <w:r>
        <w:rPr>
          <w:rFonts w:hint="eastAsia" w:ascii="宋体" w:hAnsi="宋体" w:cs="宋体"/>
          <w:color w:val="000000"/>
          <w:sz w:val="32"/>
          <w:szCs w:val="32"/>
          <w:highlight w:val="none"/>
        </w:rPr>
        <w:t>理财计划托管人：</w:t>
      </w:r>
      <w:r>
        <w:rPr>
          <w:rFonts w:hint="eastAsia" w:ascii="宋体" w:hAnsi="宋体" w:eastAsia="宋体" w:cs="宋体"/>
          <w:color w:val="000000"/>
          <w:kern w:val="2"/>
          <w:sz w:val="32"/>
          <w:szCs w:val="32"/>
          <w:highlight w:val="none"/>
          <w:lang w:val="en-US" w:eastAsia="zh-CN" w:bidi="ar-SA"/>
        </w:rPr>
        <w:t>杭州银行股份有限公司</w:t>
      </w:r>
    </w:p>
    <w:p>
      <w:pPr>
        <w:ind w:firstLine="1280" w:firstLineChars="400"/>
        <w:jc w:val="left"/>
        <w:rPr>
          <w:rFonts w:hint="eastAsia" w:ascii="宋体" w:hAnsi="宋体" w:cs="宋体"/>
          <w:color w:val="000000"/>
          <w:sz w:val="32"/>
          <w:szCs w:val="32"/>
          <w:highlight w:val="none"/>
        </w:rPr>
      </w:pPr>
    </w:p>
    <w:p>
      <w:pPr>
        <w:jc w:val="center"/>
        <w:rPr>
          <w:rFonts w:hint="eastAsia" w:ascii="宋体" w:hAnsi="宋体" w:cs="宋体"/>
          <w:color w:val="000000"/>
          <w:sz w:val="32"/>
          <w:szCs w:val="32"/>
          <w:highlight w:val="none"/>
        </w:rPr>
      </w:pPr>
    </w:p>
    <w:p>
      <w:pPr>
        <w:jc w:val="center"/>
        <w:rPr>
          <w:rFonts w:hint="eastAsia" w:ascii="宋体" w:hAnsi="宋体" w:cs="宋体"/>
          <w:color w:val="000000"/>
          <w:sz w:val="32"/>
          <w:szCs w:val="32"/>
          <w:highlight w:val="none"/>
        </w:rPr>
      </w:pPr>
    </w:p>
    <w:p>
      <w:pPr>
        <w:jc w:val="center"/>
        <w:rPr>
          <w:rFonts w:hint="eastAsia" w:ascii="宋体" w:hAnsi="宋体" w:cs="宋体"/>
          <w:color w:val="000000"/>
          <w:sz w:val="32"/>
          <w:szCs w:val="32"/>
          <w:highlight w:val="none"/>
        </w:rPr>
      </w:pPr>
    </w:p>
    <w:p>
      <w:pPr>
        <w:jc w:val="center"/>
        <w:rPr>
          <w:rFonts w:hint="eastAsia" w:ascii="宋体" w:hAnsi="宋体" w:cs="宋体"/>
          <w:color w:val="000000"/>
          <w:sz w:val="32"/>
          <w:szCs w:val="32"/>
          <w:highlight w:val="none"/>
        </w:rPr>
      </w:pPr>
    </w:p>
    <w:p>
      <w:pPr>
        <w:jc w:val="center"/>
        <w:rPr>
          <w:rFonts w:hint="eastAsia" w:ascii="宋体" w:hAnsi="宋体" w:cs="宋体"/>
          <w:color w:val="000000"/>
          <w:sz w:val="32"/>
          <w:szCs w:val="32"/>
          <w:highlight w:val="none"/>
        </w:rPr>
      </w:pPr>
    </w:p>
    <w:p>
      <w:pPr>
        <w:jc w:val="center"/>
        <w:rPr>
          <w:rFonts w:hint="eastAsia" w:ascii="宋体" w:hAnsi="宋体" w:cs="宋体"/>
          <w:color w:val="000000"/>
          <w:sz w:val="32"/>
          <w:szCs w:val="32"/>
          <w:highlight w:val="none"/>
        </w:rPr>
      </w:pPr>
    </w:p>
    <w:p>
      <w:pPr>
        <w:jc w:val="center"/>
        <w:rPr>
          <w:rFonts w:hint="eastAsia" w:ascii="宋体" w:hAnsi="宋体" w:cs="宋体"/>
          <w:color w:val="000000"/>
          <w:sz w:val="32"/>
          <w:szCs w:val="32"/>
          <w:highlight w:val="none"/>
        </w:rPr>
      </w:pPr>
    </w:p>
    <w:p>
      <w:pPr>
        <w:jc w:val="center"/>
        <w:rPr>
          <w:rFonts w:hint="eastAsia" w:ascii="宋体" w:hAnsi="宋体" w:cs="宋体"/>
          <w:b/>
          <w:bCs/>
          <w:color w:val="000000"/>
          <w:sz w:val="44"/>
          <w:szCs w:val="44"/>
          <w:highlight w:val="none"/>
        </w:rPr>
      </w:pPr>
    </w:p>
    <w:p>
      <w:pPr>
        <w:jc w:val="center"/>
        <w:rPr>
          <w:rFonts w:hint="eastAsia" w:ascii="宋体" w:hAnsi="宋体" w:cs="宋体"/>
          <w:b/>
          <w:bCs/>
          <w:color w:val="000000"/>
          <w:sz w:val="44"/>
          <w:szCs w:val="44"/>
          <w:highlight w:val="none"/>
        </w:rPr>
      </w:pPr>
    </w:p>
    <w:p>
      <w:pPr>
        <w:jc w:val="center"/>
        <w:rPr>
          <w:rFonts w:hint="eastAsia" w:ascii="宋体" w:hAnsi="宋体" w:cs="宋体"/>
          <w:b/>
          <w:bCs/>
          <w:color w:val="000000"/>
          <w:sz w:val="44"/>
          <w:szCs w:val="44"/>
          <w:highlight w:val="none"/>
        </w:rPr>
      </w:pPr>
    </w:p>
    <w:p>
      <w:pPr>
        <w:jc w:val="center"/>
        <w:rPr>
          <w:rFonts w:hint="eastAsia" w:ascii="宋体" w:hAnsi="宋体" w:cs="宋体"/>
          <w:b/>
          <w:bCs/>
          <w:color w:val="000000"/>
          <w:sz w:val="44"/>
          <w:szCs w:val="44"/>
          <w:highlight w:val="none"/>
        </w:rPr>
      </w:pPr>
    </w:p>
    <w:p>
      <w:pPr>
        <w:jc w:val="center"/>
        <w:outlineLvl w:val="9"/>
        <w:rPr>
          <w:rFonts w:hint="eastAsia" w:ascii="宋体" w:hAnsi="宋体" w:cs="宋体"/>
          <w:b/>
          <w:bCs/>
          <w:color w:val="000000"/>
          <w:sz w:val="44"/>
          <w:szCs w:val="44"/>
          <w:highlight w:val="none"/>
        </w:rPr>
      </w:pPr>
      <w:r>
        <w:rPr>
          <w:rFonts w:hint="eastAsia" w:ascii="宋体" w:hAnsi="宋体" w:eastAsia="宋体" w:cs="宋体"/>
          <w:b/>
          <w:bCs/>
          <w:color w:val="000000"/>
          <w:kern w:val="2"/>
          <w:sz w:val="44"/>
          <w:szCs w:val="44"/>
          <w:highlight w:val="none"/>
          <w:lang w:val="en-US" w:eastAsia="zh-CN" w:bidi="ar-SA"/>
        </w:rPr>
        <w:t>幸福99益合·添益（年年红）1年定开型2530期理财</w:t>
      </w:r>
      <w:r>
        <w:rPr>
          <w:rFonts w:hint="eastAsia" w:ascii="宋体" w:hAnsi="宋体" w:cs="宋体"/>
          <w:b/>
          <w:bCs/>
          <w:color w:val="000000"/>
          <w:sz w:val="44"/>
          <w:szCs w:val="44"/>
          <w:highlight w:val="none"/>
        </w:rPr>
        <w:t>合同文件</w:t>
      </w:r>
    </w:p>
    <w:p>
      <w:pPr>
        <w:jc w:val="center"/>
        <w:rPr>
          <w:rFonts w:hint="eastAsia" w:ascii="宋体" w:hAnsi="宋体" w:cs="宋体"/>
          <w:color w:val="000000"/>
          <w:sz w:val="44"/>
          <w:szCs w:val="44"/>
          <w:highlight w:val="none"/>
        </w:rPr>
      </w:pPr>
    </w:p>
    <w:p>
      <w:pPr>
        <w:jc w:val="center"/>
        <w:rPr>
          <w:rFonts w:hint="eastAsia" w:ascii="宋体" w:hAnsi="宋体" w:cs="宋体"/>
          <w:color w:val="000000"/>
          <w:sz w:val="44"/>
          <w:szCs w:val="44"/>
          <w:highlight w:val="none"/>
        </w:rPr>
      </w:pPr>
    </w:p>
    <w:tbl>
      <w:tblPr>
        <w:tblStyle w:val="11"/>
        <w:tblW w:w="8191" w:type="dxa"/>
        <w:tblInd w:w="3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5160"/>
        <w:gridCol w:w="2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szCs w:val="21"/>
                <w:highlight w:val="none"/>
              </w:rPr>
            </w:pPr>
            <w:r>
              <w:rPr>
                <w:rFonts w:hint="eastAsia" w:ascii="宋体" w:hAnsi="宋体" w:cs="宋体"/>
                <w:b/>
                <w:bCs/>
                <w:color w:val="000000"/>
                <w:szCs w:val="21"/>
                <w:highlight w:val="none"/>
              </w:rPr>
              <w:t>序号</w:t>
            </w:r>
          </w:p>
        </w:tc>
        <w:tc>
          <w:tcPr>
            <w:tcW w:w="5160"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szCs w:val="21"/>
                <w:highlight w:val="none"/>
              </w:rPr>
            </w:pPr>
            <w:r>
              <w:rPr>
                <w:rFonts w:hint="eastAsia" w:ascii="宋体" w:hAnsi="宋体" w:cs="宋体"/>
                <w:b/>
                <w:bCs/>
                <w:color w:val="000000"/>
                <w:szCs w:val="21"/>
                <w:highlight w:val="none"/>
              </w:rPr>
              <w:t>理财计划合同文件中的文件名称</w:t>
            </w:r>
          </w:p>
        </w:tc>
        <w:tc>
          <w:tcPr>
            <w:tcW w:w="2266"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szCs w:val="21"/>
                <w:highlight w:val="none"/>
              </w:rPr>
            </w:pPr>
            <w:r>
              <w:rPr>
                <w:rFonts w:hint="eastAsia" w:ascii="宋体" w:hAnsi="宋体" w:cs="宋体"/>
                <w:b/>
                <w:bCs/>
                <w:color w:val="000000"/>
                <w:szCs w:val="21"/>
                <w:highlight w:val="none"/>
              </w:rPr>
              <w:t>文件简称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szCs w:val="21"/>
                <w:highlight w:val="none"/>
              </w:rPr>
            </w:pPr>
            <w:r>
              <w:rPr>
                <w:rFonts w:hint="eastAsia" w:ascii="宋体" w:hAnsi="宋体" w:cs="宋体"/>
                <w:color w:val="000000"/>
                <w:szCs w:val="21"/>
                <w:highlight w:val="none"/>
              </w:rPr>
              <w:t>1</w:t>
            </w:r>
          </w:p>
        </w:tc>
        <w:tc>
          <w:tcPr>
            <w:tcW w:w="5160" w:type="dxa"/>
            <w:noWrap w:val="0"/>
            <w:vAlign w:val="center"/>
          </w:tcPr>
          <w:p>
            <w:pPr>
              <w:keepNext w:val="0"/>
              <w:keepLines w:val="0"/>
              <w:suppressLineNumbers w:val="0"/>
              <w:spacing w:before="0" w:beforeAutospacing="0" w:after="0" w:afterAutospacing="0" w:line="360" w:lineRule="auto"/>
              <w:ind w:left="0" w:right="0"/>
              <w:jc w:val="left"/>
              <w:rPr>
                <w:rFonts w:hint="default"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幸福99益合·添益（年年红）1年定开型2530期理财</w:t>
            </w:r>
            <w:r>
              <w:rPr>
                <w:rFonts w:hint="eastAsia" w:ascii="宋体" w:hAnsi="宋体" w:cs="宋体"/>
                <w:color w:val="000000"/>
                <w:szCs w:val="21"/>
                <w:highlight w:val="none"/>
              </w:rPr>
              <w:t>风险揭示书</w:t>
            </w:r>
          </w:p>
        </w:tc>
        <w:tc>
          <w:tcPr>
            <w:tcW w:w="2266"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szCs w:val="21"/>
                <w:highlight w:val="none"/>
              </w:rPr>
            </w:pPr>
            <w:r>
              <w:rPr>
                <w:rFonts w:hint="eastAsia" w:ascii="宋体" w:hAnsi="宋体" w:cs="宋体"/>
                <w:color w:val="000000"/>
                <w:szCs w:val="21"/>
                <w:highlight w:val="none"/>
              </w:rPr>
              <w:t>理财计划风险揭示书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szCs w:val="21"/>
                <w:highlight w:val="none"/>
              </w:rPr>
            </w:pPr>
            <w:r>
              <w:rPr>
                <w:rFonts w:hint="eastAsia" w:ascii="宋体" w:hAnsi="宋体" w:cs="宋体"/>
                <w:color w:val="000000"/>
                <w:szCs w:val="21"/>
                <w:highlight w:val="none"/>
              </w:rPr>
              <w:t>2</w:t>
            </w:r>
          </w:p>
        </w:tc>
        <w:tc>
          <w:tcPr>
            <w:tcW w:w="5160" w:type="dxa"/>
            <w:noWrap w:val="0"/>
            <w:vAlign w:val="center"/>
          </w:tcPr>
          <w:p>
            <w:pPr>
              <w:keepNext w:val="0"/>
              <w:keepLines w:val="0"/>
              <w:suppressLineNumbers w:val="0"/>
              <w:spacing w:before="0" w:beforeAutospacing="0" w:after="0" w:afterAutospacing="0" w:line="360" w:lineRule="auto"/>
              <w:ind w:left="0" w:right="0"/>
              <w:jc w:val="left"/>
              <w:rPr>
                <w:rFonts w:hint="default"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幸福99益合·添益（年年红）1年定开型2530期理财</w:t>
            </w:r>
            <w:r>
              <w:rPr>
                <w:rFonts w:hint="eastAsia" w:ascii="宋体" w:hAnsi="宋体" w:cs="宋体"/>
                <w:color w:val="000000"/>
                <w:szCs w:val="21"/>
                <w:highlight w:val="none"/>
              </w:rPr>
              <w:t>产品说明书</w:t>
            </w:r>
          </w:p>
        </w:tc>
        <w:tc>
          <w:tcPr>
            <w:tcW w:w="2266"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szCs w:val="21"/>
                <w:highlight w:val="none"/>
              </w:rPr>
            </w:pPr>
            <w:r>
              <w:rPr>
                <w:rFonts w:hint="eastAsia" w:ascii="宋体" w:hAnsi="宋体" w:cs="宋体"/>
                <w:color w:val="000000"/>
                <w:szCs w:val="21"/>
                <w:highlight w:val="none"/>
              </w:rPr>
              <w:t>理财计划产品说明书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szCs w:val="21"/>
                <w:highlight w:val="none"/>
              </w:rPr>
            </w:pPr>
            <w:r>
              <w:rPr>
                <w:rFonts w:hint="eastAsia" w:ascii="宋体" w:hAnsi="宋体" w:cs="宋体"/>
                <w:color w:val="000000"/>
                <w:szCs w:val="21"/>
                <w:highlight w:val="none"/>
              </w:rPr>
              <w:t>3</w:t>
            </w:r>
          </w:p>
        </w:tc>
        <w:tc>
          <w:tcPr>
            <w:tcW w:w="5160" w:type="dxa"/>
            <w:noWrap w:val="0"/>
            <w:vAlign w:val="center"/>
          </w:tcPr>
          <w:p>
            <w:pPr>
              <w:keepNext w:val="0"/>
              <w:keepLines w:val="0"/>
              <w:suppressLineNumbers w:val="0"/>
              <w:spacing w:before="0" w:beforeAutospacing="0" w:after="0" w:afterAutospacing="0" w:line="360" w:lineRule="auto"/>
              <w:ind w:left="0" w:right="0"/>
              <w:jc w:val="left"/>
              <w:rPr>
                <w:rFonts w:hint="eastAsia" w:ascii="宋体" w:hAnsi="宋体" w:cs="宋体"/>
                <w:color w:val="000000"/>
                <w:szCs w:val="21"/>
                <w:highlight w:val="none"/>
              </w:rPr>
            </w:pPr>
            <w:r>
              <w:rPr>
                <w:rFonts w:hint="eastAsia" w:ascii="宋体" w:hAnsi="宋体" w:cs="宋体"/>
                <w:color w:val="000000"/>
                <w:szCs w:val="21"/>
                <w:highlight w:val="none"/>
              </w:rPr>
              <w:t>杭银理财投资者权益须知</w:t>
            </w:r>
          </w:p>
        </w:tc>
        <w:tc>
          <w:tcPr>
            <w:tcW w:w="2266"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szCs w:val="21"/>
                <w:highlight w:val="none"/>
              </w:rPr>
            </w:pPr>
            <w:r>
              <w:rPr>
                <w:rFonts w:hint="eastAsia" w:ascii="宋体" w:hAnsi="宋体" w:cs="宋体"/>
                <w:color w:val="000000"/>
                <w:szCs w:val="21"/>
                <w:highlight w:val="none"/>
              </w:rPr>
              <w:t>投资者权益须知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szCs w:val="21"/>
                <w:highlight w:val="none"/>
              </w:rPr>
            </w:pPr>
            <w:r>
              <w:rPr>
                <w:rFonts w:hint="eastAsia" w:ascii="宋体" w:hAnsi="宋体" w:cs="宋体"/>
                <w:color w:val="000000"/>
                <w:szCs w:val="21"/>
                <w:highlight w:val="none"/>
              </w:rPr>
              <w:t>4</w:t>
            </w:r>
          </w:p>
        </w:tc>
        <w:tc>
          <w:tcPr>
            <w:tcW w:w="5160" w:type="dxa"/>
            <w:noWrap w:val="0"/>
            <w:vAlign w:val="center"/>
          </w:tcPr>
          <w:p>
            <w:pPr>
              <w:keepNext w:val="0"/>
              <w:keepLines w:val="0"/>
              <w:suppressLineNumbers w:val="0"/>
              <w:spacing w:before="0" w:beforeAutospacing="0" w:after="0" w:afterAutospacing="0" w:line="360" w:lineRule="auto"/>
              <w:ind w:left="0" w:right="0"/>
              <w:jc w:val="left"/>
              <w:rPr>
                <w:rFonts w:hint="eastAsia" w:ascii="宋体" w:hAnsi="宋体" w:cs="宋体"/>
                <w:color w:val="000000"/>
                <w:szCs w:val="21"/>
                <w:highlight w:val="none"/>
              </w:rPr>
            </w:pPr>
            <w:r>
              <w:rPr>
                <w:rFonts w:hint="eastAsia" w:ascii="宋体" w:hAnsi="宋体" w:cs="宋体"/>
                <w:color w:val="000000"/>
                <w:szCs w:val="21"/>
                <w:highlight w:val="none"/>
              </w:rPr>
              <w:t>杭银理财理财计划投资协议书</w:t>
            </w:r>
          </w:p>
        </w:tc>
        <w:tc>
          <w:tcPr>
            <w:tcW w:w="2266"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szCs w:val="21"/>
                <w:highlight w:val="none"/>
              </w:rPr>
            </w:pPr>
            <w:r>
              <w:rPr>
                <w:rFonts w:hint="eastAsia" w:ascii="宋体" w:hAnsi="宋体" w:cs="宋体"/>
                <w:color w:val="000000"/>
                <w:szCs w:val="21"/>
                <w:highlight w:val="none"/>
              </w:rPr>
              <w:t>理财计划投资协议书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000000"/>
                <w:szCs w:val="21"/>
                <w:highlight w:val="none"/>
              </w:rPr>
            </w:pPr>
            <w:r>
              <w:rPr>
                <w:rFonts w:hint="eastAsia" w:ascii="宋体" w:hAnsi="宋体" w:cs="宋体"/>
                <w:color w:val="000000"/>
                <w:szCs w:val="21"/>
                <w:highlight w:val="none"/>
              </w:rPr>
              <w:t>5</w:t>
            </w:r>
          </w:p>
        </w:tc>
        <w:tc>
          <w:tcPr>
            <w:tcW w:w="5160" w:type="dxa"/>
            <w:noWrap w:val="0"/>
            <w:vAlign w:val="center"/>
          </w:tcPr>
          <w:p>
            <w:pPr>
              <w:keepNext w:val="0"/>
              <w:keepLines w:val="0"/>
              <w:suppressLineNumbers w:val="0"/>
              <w:spacing w:before="0" w:beforeAutospacing="0" w:after="0" w:afterAutospacing="0" w:line="360" w:lineRule="auto"/>
              <w:ind w:left="0" w:right="0"/>
              <w:jc w:val="left"/>
              <w:rPr>
                <w:rFonts w:hint="eastAsia" w:ascii="宋体" w:hAnsi="宋体" w:cs="宋体"/>
                <w:color w:val="000000"/>
                <w:szCs w:val="21"/>
                <w:highlight w:val="none"/>
              </w:rPr>
            </w:pPr>
            <w:r>
              <w:rPr>
                <w:rFonts w:hint="eastAsia" w:ascii="宋体" w:hAnsi="宋体" w:cs="宋体"/>
                <w:color w:val="000000"/>
                <w:szCs w:val="21"/>
                <w:highlight w:val="none"/>
              </w:rPr>
              <w:t>杭银理财理财计划销售协议书</w:t>
            </w:r>
          </w:p>
        </w:tc>
        <w:tc>
          <w:tcPr>
            <w:tcW w:w="2266"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szCs w:val="21"/>
                <w:highlight w:val="none"/>
              </w:rPr>
            </w:pPr>
            <w:r>
              <w:rPr>
                <w:rFonts w:hint="eastAsia" w:ascii="宋体" w:hAnsi="宋体" w:cs="宋体"/>
                <w:color w:val="000000"/>
                <w:szCs w:val="21"/>
                <w:highlight w:val="none"/>
              </w:rPr>
              <w:t>理财计划销售协议书</w:t>
            </w:r>
          </w:p>
        </w:tc>
      </w:tr>
    </w:tbl>
    <w:p>
      <w:pPr>
        <w:rPr>
          <w:rFonts w:ascii="宋体" w:hAnsi="宋体" w:cs="宋体"/>
          <w:bCs/>
          <w:color w:val="000000"/>
          <w:sz w:val="24"/>
          <w:highlight w:val="none"/>
        </w:rPr>
      </w:pPr>
      <w:r>
        <w:rPr>
          <w:rFonts w:ascii="宋体" w:hAnsi="宋体" w:cs="宋体"/>
          <w:bCs/>
          <w:color w:val="000000"/>
          <w:sz w:val="24"/>
          <w:highlight w:val="none"/>
        </w:rPr>
        <w:br w:type="page"/>
      </w:r>
    </w:p>
    <w:p>
      <w:pPr>
        <w:ind w:left="0" w:leftChars="0" w:firstLine="0" w:firstLineChars="0"/>
        <w:jc w:val="center"/>
        <w:rPr>
          <w:rFonts w:hint="eastAsia" w:ascii="宋体" w:hAnsi="宋体" w:cs="宋体"/>
          <w:b/>
          <w:bCs/>
          <w:color w:val="000000"/>
          <w:sz w:val="44"/>
          <w:szCs w:val="44"/>
          <w:highlight w:val="none"/>
        </w:rPr>
      </w:pPr>
      <w:r>
        <w:rPr>
          <w:rFonts w:hint="eastAsia" w:ascii="宋体" w:hAnsi="宋体" w:eastAsia="宋体" w:cs="宋体"/>
          <w:b/>
          <w:bCs/>
          <w:color w:val="000000"/>
          <w:kern w:val="2"/>
          <w:sz w:val="44"/>
          <w:szCs w:val="44"/>
          <w:highlight w:val="none"/>
          <w:lang w:val="en-US" w:eastAsia="zh-CN" w:bidi="ar-SA"/>
        </w:rPr>
        <w:t>幸福99益合·添益（年年红）1年定开型2530期理财</w:t>
      </w:r>
      <w:r>
        <w:rPr>
          <w:rFonts w:hint="eastAsia" w:ascii="宋体" w:hAnsi="宋体" w:cs="宋体"/>
          <w:b/>
          <w:bCs/>
          <w:color w:val="000000"/>
          <w:sz w:val="44"/>
          <w:szCs w:val="44"/>
          <w:highlight w:val="none"/>
        </w:rPr>
        <w:t>风险揭示书</w:t>
      </w:r>
    </w:p>
    <w:p>
      <w:pPr>
        <w:jc w:val="center"/>
        <w:rPr>
          <w:rFonts w:hint="eastAsia" w:ascii="宋体" w:hAnsi="宋体" w:cs="宋体"/>
          <w:color w:val="000000"/>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尊敬的理财投资者：</w:t>
      </w:r>
    </w:p>
    <w:p>
      <w:pPr>
        <w:spacing w:line="360" w:lineRule="auto"/>
        <w:jc w:val="center"/>
        <w:rPr>
          <w:rFonts w:hint="eastAsia" w:ascii="宋体" w:hAnsi="宋体" w:cs="宋体"/>
          <w:b/>
          <w:bCs/>
          <w:color w:val="000000"/>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color w:val="000000"/>
          <w:sz w:val="24"/>
          <w:highlight w:val="none"/>
        </w:rPr>
      </w:pP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6"/>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8"/>
        </w:numPr>
        <w:spacing w:line="360" w:lineRule="auto"/>
        <w:jc w:val="left"/>
        <w:outlineLvl w:val="9"/>
        <w:rPr>
          <w:rFonts w:hint="eastAsia" w:ascii="宋体" w:hAnsi="宋体" w:cs="宋体"/>
          <w:b/>
          <w:color w:val="000000"/>
          <w:sz w:val="24"/>
          <w:highlight w:val="none"/>
        </w:rPr>
      </w:pPr>
      <w:r>
        <w:rPr>
          <w:rFonts w:hint="eastAsia" w:ascii="宋体" w:hAnsi="宋体" w:cs="宋体"/>
          <w:b/>
          <w:color w:val="000000"/>
          <w:sz w:val="24"/>
          <w:highlight w:val="none"/>
          <w:lang w:val="en-US" w:eastAsia="zh-CN"/>
        </w:rPr>
        <w:t>根据适当性管理原则，将理财投资人分为专业投资者和普通投资者。其中专业投资者应符合下列条件之一：</w:t>
      </w:r>
    </w:p>
    <w:p>
      <w:pPr>
        <w:numPr>
          <w:ilvl w:val="0"/>
          <w:numId w:val="9"/>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银行业金融机构、保险业金融机构、金融控股公司、证券基金期货经营机构、私募基金管理人；</w:t>
      </w:r>
    </w:p>
    <w:p>
      <w:pPr>
        <w:numPr>
          <w:ilvl w:val="0"/>
          <w:numId w:val="9"/>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上述机构面向投资者发行的金融产品，信托公司管理的资产服务信托、公益慈善信托；</w:t>
      </w:r>
    </w:p>
    <w:p>
      <w:pPr>
        <w:numPr>
          <w:ilvl w:val="0"/>
          <w:numId w:val="9"/>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社会保障基金、企业年金、职业年金等养老基金，慈善基金等社会公益基金，合格境外机构投资者（QFII）、人民币合格境外机构投资者（RQFII）。</w:t>
      </w:r>
    </w:p>
    <w:p>
      <w:pPr>
        <w:numPr>
          <w:ilvl w:val="0"/>
          <w:numId w:val="0"/>
        </w:numPr>
        <w:spacing w:line="360" w:lineRule="auto"/>
        <w:ind w:left="400" w:leftChars="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专业投资者之外的投资者为普通投资者。</w:t>
      </w:r>
    </w:p>
    <w:p>
      <w:pPr>
        <w:numPr>
          <w:ilvl w:val="0"/>
          <w:numId w:val="0"/>
        </w:numPr>
        <w:spacing w:line="360" w:lineRule="auto"/>
        <w:ind w:left="420" w:leftChars="0"/>
        <w:jc w:val="left"/>
        <w:outlineLvl w:val="9"/>
        <w:rPr>
          <w:rFonts w:hint="eastAsia" w:ascii="宋体" w:hAnsi="宋体" w:cs="宋体"/>
          <w:bCs/>
          <w:color w:val="000000"/>
          <w:sz w:val="24"/>
          <w:highlight w:val="none"/>
        </w:rPr>
      </w:pP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right"/>
        <w:rPr>
          <w:rFonts w:hint="eastAsia" w:ascii="宋体" w:hAnsi="宋体" w:cs="宋体"/>
          <w:b/>
          <w:color w:val="000000"/>
          <w:highlight w:val="none"/>
        </w:rPr>
      </w:pPr>
      <w:r>
        <w:rPr>
          <w:rFonts w:hint="eastAsia" w:ascii="宋体" w:hAnsi="宋体" w:cs="宋体"/>
          <w:bCs/>
          <w:color w:val="000000"/>
          <w:sz w:val="24"/>
          <w:highlight w:val="none"/>
        </w:rPr>
        <w:t>风险提示方：杭银理财有限责任公司</w:t>
      </w:r>
    </w:p>
    <w:p>
      <w:pPr>
        <w:keepNext w:val="0"/>
        <w:keepLines w:val="0"/>
        <w:pageBreakBefore/>
        <w:widowControl w:val="0"/>
        <w:suppressLineNumbers w:val="0"/>
        <w:spacing w:before="0" w:beforeAutospacing="0" w:after="0" w:afterAutospacing="0" w:line="360" w:lineRule="auto"/>
        <w:ind w:left="0" w:leftChars="0" w:right="0"/>
        <w:jc w:val="center"/>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投资者确认栏（</w:t>
      </w:r>
      <w:r>
        <w:rPr>
          <w:rFonts w:hint="eastAsia" w:ascii="宋体" w:hAnsi="宋体" w:eastAsia="宋体" w:cs="宋体"/>
          <w:b/>
          <w:bCs/>
          <w:color w:val="000000"/>
          <w:kern w:val="2"/>
          <w:sz w:val="24"/>
          <w:szCs w:val="24"/>
          <w:highlight w:val="none"/>
          <w:lang w:val="en-US" w:eastAsia="zh-CN" w:bidi="ar"/>
        </w:rPr>
        <w:t>普通</w:t>
      </w:r>
      <w:r>
        <w:rPr>
          <w:rFonts w:hint="eastAsia" w:ascii="宋体" w:hAnsi="宋体" w:cs="宋体"/>
          <w:b/>
          <w:color w:val="000000"/>
          <w:sz w:val="24"/>
          <w:szCs w:val="24"/>
          <w:highlight w:val="none"/>
        </w:rPr>
        <w:t>投资者填写）</w:t>
      </w:r>
    </w:p>
    <w:p>
      <w:pPr>
        <w:pStyle w:val="20"/>
        <w:spacing w:line="360" w:lineRule="auto"/>
        <w:jc w:val="both"/>
        <w:rPr>
          <w:rFonts w:hint="eastAsia" w:ascii="宋体" w:hAnsi="宋体" w:cs="宋体"/>
          <w:b/>
          <w:color w:val="000000"/>
          <w:sz w:val="24"/>
          <w:szCs w:val="24"/>
          <w:highlight w:val="none"/>
        </w:rPr>
      </w:pPr>
    </w:p>
    <w:p>
      <w:pPr>
        <w:keepNext w:val="0"/>
        <w:keepLines w:val="0"/>
        <w:widowControl w:val="0"/>
        <w:suppressLineNumbers w:val="0"/>
        <w:spacing w:before="0" w:beforeAutospacing="0" w:after="0" w:afterAutospacing="0" w:line="360" w:lineRule="auto"/>
        <w:ind w:left="0" w:right="0"/>
        <w:jc w:val="both"/>
        <w:rPr>
          <w:rFonts w:hint="eastAsia" w:ascii="宋体" w:hAnsi="宋体" w:cs="宋体"/>
          <w:color w:val="000000"/>
          <w:sz w:val="24"/>
          <w:szCs w:val="24"/>
          <w:highlight w:val="none"/>
        </w:rPr>
      </w:pPr>
      <w:r>
        <w:rPr>
          <w:rFonts w:hint="eastAsia" w:ascii="宋体" w:hAnsi="宋体" w:cs="宋体"/>
          <w:color w:val="000000"/>
          <w:sz w:val="24"/>
          <w:szCs w:val="24"/>
          <w:highlight w:val="none"/>
        </w:rPr>
        <w:t>本人</w:t>
      </w:r>
      <w:r>
        <w:rPr>
          <w:rFonts w:hint="eastAsia" w:ascii="宋体" w:hAnsi="宋体" w:eastAsia="宋体" w:cs="宋体"/>
          <w:color w:val="000000"/>
          <w:kern w:val="2"/>
          <w:sz w:val="24"/>
          <w:szCs w:val="24"/>
          <w:highlight w:val="none"/>
          <w:lang w:val="en-US" w:eastAsia="zh-CN" w:bidi="ar"/>
        </w:rPr>
        <w:t>/本机构</w:t>
      </w:r>
      <w:r>
        <w:rPr>
          <w:rFonts w:hint="eastAsia" w:ascii="宋体" w:hAnsi="宋体" w:cs="宋体"/>
          <w:color w:val="000000"/>
          <w:sz w:val="24"/>
          <w:szCs w:val="24"/>
          <w:highlight w:val="none"/>
        </w:rPr>
        <w:t>经销售机构评估的风险承受能力等级为</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color w:val="000000"/>
          <w:sz w:val="24"/>
          <w:szCs w:val="24"/>
          <w:highlight w:val="none"/>
        </w:rPr>
      </w:pPr>
      <w:r>
        <w:rPr>
          <w:rFonts w:hint="eastAsia" w:ascii="宋体" w:hAnsi="宋体" w:cs="宋体"/>
          <w:color w:val="000000"/>
          <w:sz w:val="24"/>
          <w:szCs w:val="24"/>
          <w:highlight w:val="none"/>
        </w:rPr>
        <w:t>（投资者填写）</w:t>
      </w:r>
      <w:r>
        <w:rPr>
          <w:rFonts w:hint="eastAsia" w:ascii="宋体" w:hAnsi="宋体" w:eastAsia="宋体" w:cs="宋体"/>
          <w:color w:val="000000"/>
          <w:kern w:val="2"/>
          <w:sz w:val="24"/>
          <w:szCs w:val="24"/>
          <w:highlight w:val="none"/>
          <w:u w:val="single"/>
          <w:lang w:val="en-US" w:eastAsia="zh-CN" w:bidi="ar"/>
        </w:rPr>
        <w:t xml:space="preserve">                               </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color w:val="000000"/>
          <w:sz w:val="24"/>
          <w:szCs w:val="24"/>
          <w:highlight w:val="none"/>
          <w:u w:val="single"/>
        </w:rPr>
      </w:pPr>
      <w:r>
        <w:rPr>
          <w:rFonts w:hint="eastAsia" w:ascii="宋体" w:hAnsi="宋体" w:cs="宋体"/>
          <w:color w:val="000000"/>
          <w:sz w:val="24"/>
          <w:szCs w:val="24"/>
          <w:highlight w:val="none"/>
          <w:u w:val="single"/>
        </w:rPr>
        <w:t>如超过一年未进行风险承受能力评估或影响本人风险承受能力的因素发生变化，本人</w:t>
      </w:r>
      <w:r>
        <w:rPr>
          <w:rFonts w:hint="eastAsia" w:ascii="宋体" w:hAnsi="宋体" w:eastAsia="宋体" w:cs="宋体"/>
          <w:color w:val="000000"/>
          <w:kern w:val="2"/>
          <w:sz w:val="24"/>
          <w:szCs w:val="24"/>
          <w:highlight w:val="none"/>
          <w:u w:val="single"/>
          <w:lang w:val="en-US" w:eastAsia="zh-CN" w:bidi="ar"/>
        </w:rPr>
        <w:t>/本机构</w:t>
      </w:r>
      <w:r>
        <w:rPr>
          <w:rFonts w:hint="eastAsia" w:ascii="宋体" w:hAnsi="宋体" w:cs="宋体"/>
          <w:color w:val="000000"/>
          <w:sz w:val="24"/>
          <w:szCs w:val="24"/>
          <w:highlight w:val="none"/>
          <w:u w:val="single"/>
        </w:rPr>
        <w:t>将于再次购买理财</w:t>
      </w:r>
      <w:r>
        <w:rPr>
          <w:rFonts w:hint="eastAsia" w:ascii="宋体" w:hAnsi="宋体" w:cs="宋体"/>
          <w:color w:val="000000"/>
          <w:sz w:val="24"/>
          <w:szCs w:val="24"/>
          <w:highlight w:val="none"/>
          <w:u w:val="single"/>
          <w:lang w:eastAsia="zh-CN"/>
        </w:rPr>
        <w:t>计划</w:t>
      </w:r>
      <w:r>
        <w:rPr>
          <w:rFonts w:hint="eastAsia" w:ascii="宋体" w:hAnsi="宋体" w:cs="宋体"/>
          <w:color w:val="000000"/>
          <w:sz w:val="24"/>
          <w:szCs w:val="24"/>
          <w:highlight w:val="none"/>
          <w:u w:val="single"/>
        </w:rPr>
        <w:t>时及时完成风险承受能力评估。</w:t>
      </w:r>
    </w:p>
    <w:p>
      <w:pPr>
        <w:keepNext w:val="0"/>
        <w:keepLines w:val="0"/>
        <w:widowControl w:val="0"/>
        <w:suppressLineNumbers w:val="0"/>
        <w:spacing w:before="0" w:beforeAutospacing="0" w:after="0" w:afterAutospacing="0" w:line="360" w:lineRule="auto"/>
        <w:ind w:left="0" w:right="0" w:firstLine="472" w:firstLineChars="196"/>
        <w:jc w:val="both"/>
        <w:rPr>
          <w:rFonts w:hint="eastAsia" w:ascii="宋体" w:hAnsi="宋体" w:cs="宋体"/>
          <w:b/>
          <w:bCs/>
          <w:color w:val="000000"/>
          <w:sz w:val="24"/>
          <w:szCs w:val="24"/>
          <w:highlight w:val="none"/>
          <w:u w:val="single"/>
        </w:rPr>
      </w:pPr>
      <w:r>
        <w:rPr>
          <w:rFonts w:hint="eastAsia" w:ascii="宋体" w:hAnsi="宋体" w:cs="宋体"/>
          <w:b/>
          <w:bCs/>
          <w:color w:val="000000"/>
          <w:sz w:val="24"/>
          <w:szCs w:val="24"/>
          <w:highlight w:val="none"/>
          <w:u w:val="single"/>
        </w:rPr>
        <w:t>声明：</w:t>
      </w:r>
      <w:r>
        <w:rPr>
          <w:rFonts w:hint="eastAsia" w:ascii="宋体" w:hAnsi="宋体" w:eastAsia="宋体" w:cs="宋体"/>
          <w:b/>
          <w:bCs/>
          <w:color w:val="000000"/>
          <w:kern w:val="2"/>
          <w:sz w:val="24"/>
          <w:szCs w:val="24"/>
          <w:highlight w:val="none"/>
          <w:u w:val="single"/>
          <w:lang w:val="en-US" w:eastAsia="zh-CN" w:bidi="ar"/>
        </w:rPr>
        <w:t>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keepNext w:val="0"/>
        <w:keepLines w:val="0"/>
        <w:widowControl w:val="0"/>
        <w:suppressLineNumbers w:val="0"/>
        <w:spacing w:before="0" w:beforeAutospacing="0" w:after="0" w:afterAutospacing="0" w:line="360" w:lineRule="auto"/>
        <w:ind w:left="0" w:right="0" w:firstLine="472" w:firstLineChars="196"/>
        <w:jc w:val="both"/>
        <w:rPr>
          <w:rFonts w:ascii="宋体" w:hAnsi="宋体" w:cs="宋体"/>
          <w:b/>
          <w:bCs/>
          <w:color w:val="000000"/>
          <w:sz w:val="24"/>
          <w:szCs w:val="24"/>
          <w:highlight w:val="none"/>
          <w:u w:val="single"/>
        </w:rPr>
      </w:pPr>
      <w:r>
        <w:rPr>
          <w:rFonts w:hint="eastAsia" w:ascii="宋体" w:hAnsi="宋体" w:cs="宋体"/>
          <w:b/>
          <w:bCs/>
          <w:color w:val="000000"/>
          <w:sz w:val="24"/>
          <w:szCs w:val="24"/>
          <w:highlight w:val="none"/>
          <w:u w:val="single"/>
        </w:rPr>
        <w:t>本人</w:t>
      </w:r>
      <w:r>
        <w:rPr>
          <w:rFonts w:hint="eastAsia" w:ascii="宋体" w:hAnsi="宋体" w:eastAsia="宋体" w:cs="宋体"/>
          <w:b/>
          <w:bCs/>
          <w:color w:val="000000"/>
          <w:kern w:val="2"/>
          <w:sz w:val="24"/>
          <w:szCs w:val="24"/>
          <w:highlight w:val="none"/>
          <w:u w:val="single"/>
          <w:lang w:val="en-US" w:eastAsia="zh-CN" w:bidi="ar"/>
        </w:rPr>
        <w:t>/机构</w:t>
      </w:r>
      <w:r>
        <w:rPr>
          <w:rFonts w:hint="eastAsia" w:ascii="宋体" w:hAnsi="宋体" w:cs="宋体"/>
          <w:b/>
          <w:bCs/>
          <w:color w:val="000000"/>
          <w:sz w:val="24"/>
          <w:szCs w:val="24"/>
          <w:highlight w:val="none"/>
          <w:u w:val="single"/>
        </w:rPr>
        <w:t>购买本理财</w:t>
      </w:r>
      <w:r>
        <w:rPr>
          <w:rFonts w:hint="eastAsia" w:ascii="宋体" w:hAnsi="宋体" w:cs="宋体"/>
          <w:b/>
          <w:bCs/>
          <w:color w:val="000000"/>
          <w:sz w:val="24"/>
          <w:szCs w:val="24"/>
          <w:highlight w:val="none"/>
          <w:u w:val="single"/>
          <w:lang w:eastAsia="zh-CN"/>
        </w:rPr>
        <w:t>计划</w:t>
      </w:r>
      <w:r>
        <w:rPr>
          <w:rFonts w:hint="eastAsia" w:ascii="宋体" w:hAnsi="宋体" w:cs="宋体"/>
          <w:b/>
          <w:bCs/>
          <w:color w:val="000000"/>
          <w:sz w:val="24"/>
          <w:szCs w:val="24"/>
          <w:highlight w:val="none"/>
          <w:u w:val="single"/>
        </w:rPr>
        <w:t>的资金为合法自有资金，不存在使用借款、贷款等非自有资金的情形；且系为合法目的投资本理财</w:t>
      </w:r>
      <w:r>
        <w:rPr>
          <w:rFonts w:hint="eastAsia" w:ascii="宋体" w:hAnsi="宋体" w:cs="宋体"/>
          <w:b/>
          <w:bCs/>
          <w:color w:val="000000"/>
          <w:sz w:val="24"/>
          <w:szCs w:val="24"/>
          <w:highlight w:val="none"/>
          <w:u w:val="single"/>
          <w:lang w:eastAsia="zh-CN"/>
        </w:rPr>
        <w:t>计划</w:t>
      </w:r>
      <w:r>
        <w:rPr>
          <w:rFonts w:hint="eastAsia" w:ascii="宋体" w:hAnsi="宋体" w:cs="宋体"/>
          <w:b/>
          <w:bCs/>
          <w:color w:val="000000"/>
          <w:sz w:val="24"/>
          <w:szCs w:val="24"/>
          <w:highlight w:val="none"/>
          <w:u w:val="single"/>
        </w:rPr>
        <w:t>，而非为洗钱等违法违规之目的，本人</w:t>
      </w:r>
      <w:r>
        <w:rPr>
          <w:rFonts w:hint="eastAsia" w:ascii="宋体" w:hAnsi="宋体" w:eastAsia="宋体" w:cs="宋体"/>
          <w:b/>
          <w:bCs/>
          <w:color w:val="000000"/>
          <w:kern w:val="2"/>
          <w:sz w:val="24"/>
          <w:szCs w:val="24"/>
          <w:highlight w:val="none"/>
          <w:u w:val="single"/>
          <w:lang w:val="en-US" w:eastAsia="zh-CN" w:bidi="ar"/>
        </w:rPr>
        <w:t>/机构</w:t>
      </w:r>
      <w:r>
        <w:rPr>
          <w:rFonts w:hint="eastAsia" w:ascii="宋体" w:hAnsi="宋体" w:cs="宋体"/>
          <w:b/>
          <w:bCs/>
          <w:color w:val="000000"/>
          <w:sz w:val="24"/>
          <w:szCs w:val="24"/>
          <w:highlight w:val="none"/>
          <w:u w:val="single"/>
        </w:rPr>
        <w:t>将配合管理人或销售机构开展客户身份识别及尽职调查、反恐怖融资以及非居民金融账户尽职调查等，及时、真实、准确提供身份信息及资金来源信息。</w:t>
      </w:r>
    </w:p>
    <w:p>
      <w:pPr>
        <w:keepNext w:val="0"/>
        <w:keepLines w:val="0"/>
        <w:widowControl w:val="0"/>
        <w:suppressLineNumbers w:val="0"/>
        <w:spacing w:before="0" w:beforeAutospacing="0" w:after="0" w:afterAutospacing="0" w:line="360" w:lineRule="auto"/>
        <w:ind w:left="0" w:right="0" w:firstLine="360" w:firstLineChars="150"/>
        <w:jc w:val="both"/>
        <w:rPr>
          <w:rFonts w:hint="eastAsia" w:ascii="宋体" w:hAnsi="宋体" w:cs="宋体"/>
          <w:b/>
          <w:color w:val="000000"/>
          <w:sz w:val="24"/>
          <w:szCs w:val="24"/>
          <w:highlight w:val="none"/>
        </w:rPr>
      </w:pPr>
      <w:r>
        <w:rPr>
          <w:rFonts w:hint="eastAsia" w:ascii="宋体" w:hAnsi="宋体" w:cs="宋体"/>
          <w:color w:val="000000"/>
          <w:sz w:val="24"/>
          <w:szCs w:val="24"/>
          <w:highlight w:val="none"/>
        </w:rPr>
        <w:t>（投资者需全文抄录以下文字以完成确认：</w:t>
      </w:r>
      <w:r>
        <w:rPr>
          <w:rFonts w:hint="eastAsia" w:ascii="宋体" w:hAnsi="宋体" w:cs="宋体"/>
          <w:b/>
          <w:color w:val="000000"/>
          <w:sz w:val="24"/>
          <w:szCs w:val="24"/>
          <w:highlight w:val="none"/>
        </w:rPr>
        <w:t>“本人</w:t>
      </w:r>
      <w:r>
        <w:rPr>
          <w:rFonts w:hint="eastAsia" w:ascii="宋体" w:hAnsi="宋体" w:eastAsia="宋体" w:cs="宋体"/>
          <w:b/>
          <w:bCs/>
          <w:color w:val="000000"/>
          <w:kern w:val="2"/>
          <w:sz w:val="24"/>
          <w:szCs w:val="24"/>
          <w:highlight w:val="none"/>
          <w:u w:val="single"/>
          <w:lang w:val="en-US" w:eastAsia="zh-CN" w:bidi="ar"/>
        </w:rPr>
        <w:t>/机构</w:t>
      </w:r>
      <w:r>
        <w:rPr>
          <w:rFonts w:hint="eastAsia" w:ascii="宋体" w:hAnsi="宋体" w:cs="宋体"/>
          <w:b/>
          <w:color w:val="000000"/>
          <w:sz w:val="24"/>
          <w:szCs w:val="24"/>
          <w:highlight w:val="none"/>
        </w:rPr>
        <w:t>已经阅读上述风险揭示，愿意承担投资风险。”</w:t>
      </w:r>
      <w:r>
        <w:rPr>
          <w:rFonts w:hint="eastAsia" w:ascii="宋体" w:hAnsi="宋体" w:cs="宋体"/>
          <w:b/>
          <w:color w:val="000000"/>
          <w:sz w:val="24"/>
          <w:szCs w:val="24"/>
          <w:highlight w:val="none"/>
          <w:lang w:eastAsia="zh-CN"/>
        </w:rPr>
        <w:t>如通过线上渠道购买，认</w:t>
      </w:r>
      <w:r>
        <w:rPr>
          <w:rFonts w:hint="eastAsia" w:ascii="宋体" w:hAnsi="宋体" w:cs="宋体"/>
          <w:b/>
          <w:color w:val="000000"/>
          <w:sz w:val="24"/>
          <w:szCs w:val="24"/>
          <w:highlight w:val="none"/>
          <w:lang w:val="en-US" w:eastAsia="zh-CN"/>
        </w:rPr>
        <w:t>/申购交易确认即</w:t>
      </w:r>
      <w:r>
        <w:rPr>
          <w:rFonts w:hint="eastAsia" w:ascii="宋体" w:hAnsi="宋体" w:eastAsia="宋体" w:cs="宋体"/>
          <w:b/>
          <w:bCs/>
          <w:color w:val="000000"/>
          <w:kern w:val="2"/>
          <w:sz w:val="24"/>
          <w:szCs w:val="24"/>
          <w:highlight w:val="none"/>
          <w:lang w:val="en-US" w:eastAsia="zh-CN" w:bidi="ar"/>
        </w:rPr>
        <w:t>知晓并</w:t>
      </w:r>
      <w:r>
        <w:rPr>
          <w:rFonts w:hint="eastAsia" w:ascii="宋体" w:hAnsi="宋体" w:cs="宋体"/>
          <w:b/>
          <w:color w:val="000000"/>
          <w:sz w:val="24"/>
          <w:szCs w:val="24"/>
          <w:highlight w:val="none"/>
          <w:lang w:val="en-US" w:eastAsia="zh-CN"/>
        </w:rPr>
        <w:t>同意自身风险承受能力等级并确认风险揭示内容，愿意承担投资风险，与书面签署具有同等效力。</w:t>
      </w:r>
      <w:r>
        <w:rPr>
          <w:rFonts w:hint="eastAsia" w:ascii="宋体" w:hAnsi="宋体" w:cs="宋体"/>
          <w:b/>
          <w:color w:val="000000"/>
          <w:sz w:val="24"/>
          <w:szCs w:val="24"/>
          <w:highlight w:val="none"/>
        </w:rPr>
        <w:t xml:space="preserve">） </w:t>
      </w:r>
    </w:p>
    <w:p>
      <w:pPr>
        <w:pStyle w:val="20"/>
        <w:spacing w:line="360" w:lineRule="auto"/>
        <w:jc w:val="both"/>
        <w:rPr>
          <w:rFonts w:hint="eastAsia" w:ascii="宋体" w:hAnsi="宋体" w:cs="宋体"/>
          <w:color w:val="000000"/>
          <w:sz w:val="24"/>
          <w:szCs w:val="24"/>
          <w:highlight w:val="none"/>
          <w:u w:val="single"/>
        </w:rPr>
      </w:pPr>
      <w:r>
        <w:rPr>
          <w:rFonts w:hint="eastAsia" w:ascii="宋体" w:hAnsi="宋体" w:cs="宋体"/>
          <w:color w:val="000000"/>
          <w:sz w:val="24"/>
          <w:szCs w:val="24"/>
          <w:highlight w:val="none"/>
        </w:rPr>
        <w:t>本人</w:t>
      </w:r>
      <w:r>
        <w:rPr>
          <w:rFonts w:hint="eastAsia" w:ascii="宋体" w:hAnsi="宋体" w:eastAsia="宋体" w:cs="宋体"/>
          <w:kern w:val="2"/>
          <w:sz w:val="24"/>
          <w:szCs w:val="24"/>
          <w:highlight w:val="none"/>
          <w:u w:val="none"/>
          <w:lang w:val="en-US" w:eastAsia="zh-CN" w:bidi="ar"/>
        </w:rPr>
        <w:t>/机构</w:t>
      </w:r>
      <w:r>
        <w:rPr>
          <w:rFonts w:hint="eastAsia" w:ascii="宋体" w:hAnsi="宋体" w:cs="宋体"/>
          <w:color w:val="000000"/>
          <w:sz w:val="24"/>
          <w:szCs w:val="24"/>
          <w:highlight w:val="none"/>
        </w:rPr>
        <w:t>同时确认如下：</w:t>
      </w:r>
      <w:r>
        <w:rPr>
          <w:rFonts w:hint="eastAsia" w:ascii="宋体" w:hAnsi="宋体" w:cs="宋体"/>
          <w:color w:val="000000"/>
          <w:sz w:val="24"/>
          <w:szCs w:val="24"/>
          <w:highlight w:val="none"/>
          <w:u w:val="single"/>
        </w:rPr>
        <w:t xml:space="preserve">                                                          </w:t>
      </w:r>
    </w:p>
    <w:p>
      <w:pPr>
        <w:pStyle w:val="20"/>
        <w:spacing w:line="360" w:lineRule="auto"/>
        <w:jc w:val="both"/>
        <w:rPr>
          <w:rFonts w:hint="eastAsia" w:ascii="宋体" w:hAnsi="宋体" w:cs="宋体"/>
          <w:color w:val="000000"/>
          <w:sz w:val="24"/>
          <w:szCs w:val="24"/>
          <w:highlight w:val="none"/>
        </w:rPr>
      </w:pPr>
      <w:r>
        <w:rPr>
          <w:rFonts w:hint="eastAsia" w:ascii="宋体" w:hAnsi="宋体" w:cs="宋体"/>
          <w:color w:val="000000"/>
          <w:sz w:val="24"/>
          <w:szCs w:val="24"/>
          <w:highlight w:val="none"/>
          <w:u w:val="single"/>
        </w:rPr>
        <w:t xml:space="preserve">                                                                                </w:t>
      </w:r>
    </w:p>
    <w:p>
      <w:pPr>
        <w:spacing w:line="360" w:lineRule="auto"/>
        <w:rPr>
          <w:rFonts w:hint="eastAsia" w:ascii="宋体" w:hAnsi="宋体" w:cs="宋体"/>
          <w:color w:val="000000"/>
          <w:kern w:val="0"/>
          <w:sz w:val="24"/>
          <w:szCs w:val="24"/>
          <w:highlight w:val="none"/>
        </w:rPr>
      </w:pPr>
    </w:p>
    <w:p>
      <w:pPr>
        <w:keepNext w:val="0"/>
        <w:keepLines w:val="0"/>
        <w:widowControl w:val="0"/>
        <w:suppressLineNumbers w:val="0"/>
        <w:spacing w:before="0" w:beforeAutospacing="0" w:after="0" w:afterAutospacing="0" w:line="360" w:lineRule="auto"/>
        <w:ind w:left="0" w:right="0"/>
        <w:jc w:val="both"/>
        <w:rPr>
          <w:rFonts w:hint="eastAsia" w:ascii="宋体" w:hAnsi="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bidi="ar"/>
        </w:rPr>
        <w:t>个人投资者</w:t>
      </w:r>
      <w:r>
        <w:rPr>
          <w:rFonts w:hint="eastAsia" w:ascii="宋体" w:hAnsi="宋体" w:cs="宋体"/>
          <w:color w:val="000000"/>
          <w:kern w:val="0"/>
          <w:sz w:val="24"/>
          <w:szCs w:val="24"/>
          <w:highlight w:val="none"/>
        </w:rPr>
        <w:t>（签字）：</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机构投资者（盖章）：</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机构投资者法定代表人或授权代表（签字或盖章）：</w:t>
      </w:r>
    </w:p>
    <w:p>
      <w:pPr>
        <w:spacing w:line="360" w:lineRule="auto"/>
        <w:rPr>
          <w:rFonts w:hint="eastAsia" w:ascii="宋体" w:hAnsi="宋体" w:cs="宋体"/>
          <w:color w:val="000000"/>
          <w:kern w:val="0"/>
          <w:sz w:val="24"/>
          <w:szCs w:val="24"/>
          <w:highlight w:val="none"/>
        </w:rPr>
      </w:pPr>
    </w:p>
    <w:p>
      <w:pPr>
        <w:spacing w:line="360" w:lineRule="auto"/>
        <w:jc w:val="right"/>
        <w:rPr>
          <w:rFonts w:hint="eastAsia" w:ascii="宋体" w:hAnsi="宋体" w:cs="宋体"/>
          <w:color w:val="000000"/>
          <w:kern w:val="0"/>
          <w:sz w:val="24"/>
          <w:szCs w:val="24"/>
          <w:highlight w:val="none"/>
        </w:rPr>
      </w:pPr>
      <w:r>
        <w:rPr>
          <w:rFonts w:hint="eastAsia" w:ascii="宋体" w:hAnsi="宋体" w:cs="宋体"/>
          <w:color w:val="000000"/>
          <w:kern w:val="0"/>
          <w:sz w:val="24"/>
          <w:szCs w:val="24"/>
          <w:highlight w:val="none"/>
        </w:rPr>
        <w:t>日期：</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年</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月</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日</w:t>
      </w:r>
    </w:p>
    <w:p>
      <w:pPr>
        <w:snapToGrid w:val="0"/>
        <w:rPr>
          <w:rFonts w:hint="eastAsia" w:ascii="宋体" w:hAnsi="宋体"/>
          <w:color w:val="000000"/>
          <w:kern w:val="0"/>
          <w:szCs w:val="21"/>
          <w:highlight w:val="none"/>
          <w:u w:val="single"/>
        </w:rPr>
      </w:pPr>
    </w:p>
    <w:p>
      <w:pPr>
        <w:jc w:val="center"/>
        <w:outlineLvl w:val="9"/>
        <w:rPr>
          <w:rFonts w:hint="eastAsia" w:ascii="宋体" w:hAnsi="宋体" w:cs="宋体"/>
          <w:b/>
          <w:bCs/>
          <w:color w:val="000000"/>
          <w:sz w:val="44"/>
          <w:szCs w:val="44"/>
          <w:highlight w:val="none"/>
        </w:rPr>
      </w:pPr>
      <w:r>
        <w:rPr>
          <w:rFonts w:hint="eastAsia" w:ascii="宋体" w:hAnsi="宋体" w:eastAsia="宋体" w:cs="宋体"/>
          <w:b/>
          <w:bCs/>
          <w:color w:val="000000"/>
          <w:kern w:val="2"/>
          <w:sz w:val="44"/>
          <w:szCs w:val="44"/>
          <w:highlight w:val="none"/>
          <w:lang w:val="en-US" w:eastAsia="zh-CN" w:bidi="ar-SA"/>
        </w:rPr>
        <w:t>幸福99益合·添益（年年红）1年定开型2530期理财</w:t>
      </w:r>
      <w:r>
        <w:rPr>
          <w:rFonts w:hint="eastAsia" w:ascii="宋体" w:hAnsi="宋体" w:cs="宋体"/>
          <w:b/>
          <w:bCs/>
          <w:color w:val="000000"/>
          <w:sz w:val="44"/>
          <w:szCs w:val="44"/>
          <w:highlight w:val="none"/>
        </w:rPr>
        <w:t>产品说明书</w:t>
      </w:r>
    </w:p>
    <w:p>
      <w:pPr>
        <w:jc w:val="center"/>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color w:val="000000"/>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Z7002225000280</w:t>
      </w:r>
      <w:r>
        <w:rPr>
          <w:rFonts w:hint="eastAsia" w:ascii="宋体" w:hAnsi="宋体" w:cs="宋体"/>
          <w:bCs/>
          <w:color w:val="000000"/>
          <w:sz w:val="24"/>
          <w:highlight w:val="none"/>
        </w:rPr>
        <w:t>〗</w:t>
      </w:r>
    </w:p>
    <w:p>
      <w:pPr>
        <w:spacing w:line="360" w:lineRule="auto"/>
        <w:jc w:val="center"/>
        <w:rPr>
          <w:rFonts w:hint="eastAsia" w:ascii="宋体" w:hAnsi="宋体" w:cs="宋体"/>
          <w:bCs/>
          <w:color w:val="000000"/>
          <w:sz w:val="24"/>
          <w:highlight w:val="none"/>
        </w:rPr>
      </w:pPr>
    </w:p>
    <w:p>
      <w:pPr>
        <w:numPr>
          <w:ilvl w:val="0"/>
          <w:numId w:val="10"/>
        </w:numPr>
        <w:spacing w:line="360" w:lineRule="auto"/>
        <w:ind w:firstLine="482" w:firstLineChars="200"/>
        <w:jc w:val="left"/>
        <w:outlineLvl w:val="9"/>
        <w:rPr>
          <w:rFonts w:ascii="宋体" w:hAnsi="宋体" w:cs="宋体"/>
          <w:b/>
          <w:color w:val="000000"/>
          <w:sz w:val="24"/>
          <w:highlight w:val="none"/>
        </w:rPr>
      </w:pPr>
      <w:r>
        <w:rPr>
          <w:rFonts w:hint="eastAsia" w:ascii="宋体" w:hAnsi="宋体" w:cs="宋体"/>
          <w:b/>
          <w:color w:val="000000"/>
          <w:sz w:val="24"/>
          <w:highlight w:val="none"/>
        </w:rPr>
        <w:t>重要须知</w:t>
      </w:r>
    </w:p>
    <w:p>
      <w:pPr>
        <w:numPr>
          <w:ilvl w:val="0"/>
          <w:numId w:val="11"/>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11"/>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11"/>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11"/>
        </w:numPr>
        <w:spacing w:line="360" w:lineRule="auto"/>
        <w:ind w:firstLine="482" w:firstLineChars="200"/>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11"/>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11"/>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11"/>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11"/>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11"/>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11"/>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11"/>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11"/>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11"/>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color w:val="000000"/>
          <w:sz w:val="24"/>
          <w:highlight w:val="none"/>
        </w:rPr>
      </w:pPr>
    </w:p>
    <w:p>
      <w:pPr>
        <w:numPr>
          <w:ilvl w:val="0"/>
          <w:numId w:val="12"/>
        </w:numPr>
        <w:spacing w:line="360" w:lineRule="auto"/>
        <w:ind w:firstLine="482" w:firstLineChars="200"/>
        <w:jc w:val="left"/>
        <w:outlineLvl w:val="9"/>
        <w:rPr>
          <w:rFonts w:ascii="宋体" w:hAnsi="宋体" w:cs="宋体"/>
          <w:b/>
          <w:color w:val="000000"/>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13"/>
        </w:numPr>
        <w:adjustRightInd/>
        <w:spacing w:line="360" w:lineRule="auto"/>
        <w:ind w:firstLine="482" w:firstLineChars="200"/>
        <w:outlineLvl w:val="9"/>
        <w:rPr>
          <w:rFonts w:hint="eastAsia" w:ascii="宋体" w:hAnsi="宋体" w:cs="宋体"/>
          <w:b/>
          <w:color w:val="000000"/>
          <w:kern w:val="2"/>
          <w:highlight w:val="none"/>
        </w:rPr>
      </w:pPr>
      <w:r>
        <w:rPr>
          <w:rFonts w:hint="eastAsia" w:ascii="宋体" w:hAnsi="宋体" w:cs="宋体"/>
          <w:b/>
          <w:color w:val="000000"/>
          <w:kern w:val="2"/>
          <w:highlight w:val="none"/>
        </w:rPr>
        <w:t>参与主体用语</w:t>
      </w:r>
    </w:p>
    <w:p>
      <w:pPr>
        <w:pStyle w:val="20"/>
        <w:numPr>
          <w:ilvl w:val="0"/>
          <w:numId w:val="14"/>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14"/>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14"/>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color w:val="000000"/>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color w:val="000000"/>
          <w:sz w:val="24"/>
          <w:szCs w:val="24"/>
          <w:highlight w:val="none"/>
        </w:rPr>
        <w:t>〗</w:t>
      </w:r>
      <w:r>
        <w:rPr>
          <w:rFonts w:hint="eastAsia" w:ascii="宋体" w:hAnsi="宋体" w:cs="宋体"/>
          <w:bCs/>
          <w:color w:val="000000"/>
          <w:kern w:val="2"/>
          <w:highlight w:val="none"/>
        </w:rPr>
        <w:t>。</w:t>
      </w:r>
    </w:p>
    <w:p>
      <w:pPr>
        <w:pStyle w:val="20"/>
        <w:numPr>
          <w:ilvl w:val="0"/>
          <w:numId w:val="14"/>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14"/>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14"/>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13"/>
        </w:numPr>
        <w:adjustRightInd/>
        <w:spacing w:line="360" w:lineRule="auto"/>
        <w:ind w:firstLine="482" w:firstLineChars="200"/>
        <w:outlineLvl w:val="9"/>
        <w:rPr>
          <w:rFonts w:hint="eastAsia" w:ascii="宋体" w:hAnsi="宋体" w:cs="宋体"/>
          <w:b/>
          <w:color w:val="000000"/>
          <w:kern w:val="2"/>
          <w:highlight w:val="none"/>
        </w:rPr>
      </w:pPr>
      <w:r>
        <w:rPr>
          <w:rFonts w:hint="eastAsia" w:ascii="宋体" w:hAnsi="宋体" w:cs="宋体"/>
          <w:b/>
          <w:color w:val="000000"/>
          <w:kern w:val="2"/>
          <w:highlight w:val="none"/>
        </w:rPr>
        <w:t>法律文件用语</w:t>
      </w:r>
    </w:p>
    <w:p>
      <w:pPr>
        <w:pStyle w:val="20"/>
        <w:numPr>
          <w:ilvl w:val="0"/>
          <w:numId w:val="1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幸福99益合·添益（年年红）1年定开型2530期理财</w:t>
      </w:r>
      <w:r>
        <w:rPr>
          <w:rFonts w:hint="eastAsia" w:ascii="宋体" w:hAnsi="宋体" w:cs="宋体"/>
          <w:bCs/>
          <w:color w:val="000000"/>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1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幸福99益合·添益（年年红）1年定开型2530期理财</w:t>
      </w:r>
      <w:r>
        <w:rPr>
          <w:rFonts w:hint="eastAsia" w:ascii="宋体" w:hAnsi="宋体" w:cs="宋体"/>
          <w:bCs/>
          <w:color w:val="000000"/>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1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幸福99益合·添益（年年红）1年定开型2530期理财</w:t>
      </w:r>
      <w:r>
        <w:rPr>
          <w:rFonts w:hint="eastAsia" w:ascii="宋体" w:hAnsi="宋体" w:cs="宋体"/>
          <w:bCs/>
          <w:color w:val="000000"/>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1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幸福99益合·添益（年年红）1年定开型2530期理财</w:t>
      </w:r>
      <w:r>
        <w:rPr>
          <w:rFonts w:hint="eastAsia" w:ascii="宋体" w:hAnsi="宋体" w:cs="宋体"/>
          <w:bCs/>
          <w:color w:val="000000"/>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1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幸福99益合·添益（年年红）1年定开型2530期理财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1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13"/>
        </w:numPr>
        <w:adjustRightInd/>
        <w:spacing w:line="360" w:lineRule="auto"/>
        <w:ind w:firstLine="482" w:firstLineChars="200"/>
        <w:outlineLvl w:val="9"/>
        <w:rPr>
          <w:rFonts w:hint="eastAsia" w:ascii="宋体" w:hAnsi="宋体" w:cs="宋体"/>
          <w:b/>
          <w:color w:val="000000"/>
          <w:kern w:val="2"/>
          <w:highlight w:val="none"/>
        </w:rPr>
      </w:pPr>
      <w:r>
        <w:rPr>
          <w:rFonts w:hint="eastAsia" w:ascii="宋体" w:hAnsi="宋体" w:cs="宋体"/>
          <w:b/>
          <w:color w:val="000000"/>
          <w:kern w:val="2"/>
          <w:highlight w:val="none"/>
        </w:rPr>
        <w:t>理财产品用语</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幸福99益合·添益（年年红）1年定开型2530期理财</w:t>
      </w:r>
      <w:r>
        <w:rPr>
          <w:rFonts w:hint="eastAsia" w:ascii="宋体" w:hAnsi="宋体" w:cs="宋体"/>
          <w:bCs/>
          <w:color w:val="000000"/>
          <w:highlight w:val="none"/>
        </w:rPr>
        <w:t>。</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理财计划份额/产品份额：</w:t>
      </w:r>
      <w:r>
        <w:rPr>
          <w:rFonts w:hint="eastAsia" w:ascii="宋体" w:hAnsi="宋体" w:cs="宋体"/>
          <w:bCs/>
          <w:color w:val="000000"/>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理财计划份额净值/产品份额净值：</w:t>
      </w:r>
      <w:r>
        <w:rPr>
          <w:rFonts w:hint="eastAsia" w:ascii="宋体" w:hAnsi="宋体" w:cs="宋体"/>
          <w:bCs/>
          <w:color w:val="000000"/>
          <w:highlight w:val="none"/>
        </w:rPr>
        <w:t>指理财计划份额的单位净值，即每1份理财计划份额以人民币或外币（以产品说明书交易币种为准）计价的价格。</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理财计划份额累计净值/产品份额累计净值：</w:t>
      </w:r>
      <w:r>
        <w:rPr>
          <w:rFonts w:hint="eastAsia" w:ascii="宋体" w:hAnsi="宋体" w:cs="宋体"/>
          <w:bCs/>
          <w:color w:val="000000"/>
          <w:highlight w:val="none"/>
        </w:rPr>
        <w:t>指理财计划份额的单位净值与理财计划成立后历次累计单位收益分配的总和。</w:t>
      </w:r>
    </w:p>
    <w:p>
      <w:pPr>
        <w:pStyle w:val="20"/>
        <w:numPr>
          <w:ilvl w:val="0"/>
          <w:numId w:val="16"/>
        </w:numPr>
        <w:adjustRightInd/>
        <w:spacing w:line="360" w:lineRule="auto"/>
        <w:ind w:firstLine="482" w:firstLineChars="200"/>
        <w:rPr>
          <w:rFonts w:hint="eastAsia" w:ascii="宋体" w:hAnsi="宋体" w:cs="宋体"/>
          <w:b/>
          <w:color w:val="000000"/>
          <w:highlight w:val="none"/>
        </w:rPr>
      </w:pPr>
      <w:r>
        <w:rPr>
          <w:rFonts w:hint="eastAsia" w:ascii="宋体" w:hAnsi="宋体" w:cs="宋体"/>
          <w:b/>
          <w:color w:val="000000"/>
          <w:highlight w:val="none"/>
        </w:rPr>
        <w:t>工作日：</w:t>
      </w:r>
      <w:r>
        <w:rPr>
          <w:rFonts w:hint="eastAsia" w:ascii="宋体" w:hAnsi="宋体" w:cs="宋体"/>
          <w:bCs/>
          <w:color w:val="000000"/>
          <w:highlight w:val="none"/>
        </w:rPr>
        <w:t>指除国家法定节假日和休息日外的日期。</w:t>
      </w:r>
    </w:p>
    <w:p>
      <w:pPr>
        <w:pStyle w:val="20"/>
        <w:numPr>
          <w:ilvl w:val="0"/>
          <w:numId w:val="16"/>
        </w:numPr>
        <w:adjustRightInd/>
        <w:spacing w:line="360" w:lineRule="auto"/>
        <w:ind w:firstLine="482" w:firstLineChars="200"/>
        <w:rPr>
          <w:rFonts w:hint="eastAsia" w:ascii="宋体" w:hAnsi="宋体" w:cs="宋体"/>
          <w:b/>
          <w:color w:val="000000"/>
          <w:highlight w:val="none"/>
        </w:rPr>
      </w:pPr>
      <w:r>
        <w:rPr>
          <w:rFonts w:hint="eastAsia" w:ascii="宋体" w:hAnsi="宋体" w:cs="宋体"/>
          <w:b/>
          <w:color w:val="000000"/>
          <w:highlight w:val="none"/>
        </w:rPr>
        <w:t>交易日：</w:t>
      </w:r>
      <w:r>
        <w:rPr>
          <w:rFonts w:hint="eastAsia" w:ascii="宋体" w:hAnsi="宋体" w:cs="宋体"/>
          <w:bCs/>
          <w:color w:val="000000"/>
          <w:highlight w:val="none"/>
        </w:rPr>
        <w:t>指</w:t>
      </w:r>
      <w:r>
        <w:rPr>
          <w:rFonts w:hint="eastAsia" w:ascii="宋体" w:hAnsi="宋体" w:cs="宋体"/>
          <w:color w:val="000000"/>
          <w:szCs w:val="21"/>
          <w:highlight w:val="none"/>
        </w:rPr>
        <w:t>〖</w:t>
      </w:r>
      <w:r>
        <w:rPr>
          <w:rFonts w:hint="eastAsia" w:ascii="宋体" w:hAnsi="宋体" w:cs="宋体"/>
          <w:bCs/>
          <w:color w:val="000000"/>
          <w:highlight w:val="none"/>
        </w:rPr>
        <w:t>上海证券交易所、深圳证券交易所</w:t>
      </w:r>
      <w:r>
        <w:rPr>
          <w:rFonts w:hint="eastAsia" w:ascii="宋体" w:hAnsi="宋体" w:cs="宋体"/>
          <w:color w:val="000000"/>
          <w:szCs w:val="21"/>
          <w:highlight w:val="none"/>
        </w:rPr>
        <w:t>〗</w:t>
      </w:r>
      <w:r>
        <w:rPr>
          <w:rFonts w:hint="eastAsia" w:ascii="宋体" w:hAnsi="宋体" w:cs="宋体"/>
          <w:bCs/>
          <w:color w:val="000000"/>
          <w:highlight w:val="none"/>
        </w:rPr>
        <w:t>的正常交易日。</w:t>
      </w:r>
      <w:r>
        <w:rPr>
          <w:rFonts w:hint="eastAsia" w:ascii="宋体" w:hAnsi="宋体" w:cs="宋体"/>
          <w:bCs/>
          <w:color w:val="000000"/>
          <w:highlight w:val="none"/>
          <w:lang w:val="en-US" w:eastAsia="zh-CN"/>
        </w:rPr>
        <w:t>如涉及到监管条例部分，统一以监管条例表述替代。</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成立日：</w:t>
      </w:r>
      <w:r>
        <w:rPr>
          <w:rFonts w:hint="eastAsia" w:ascii="宋体" w:hAnsi="宋体" w:cs="宋体"/>
          <w:bCs/>
          <w:color w:val="000000"/>
          <w:highlight w:val="none"/>
        </w:rPr>
        <w:t>指理财计划完成首次募集发行后正式成立运作日。</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16"/>
        </w:numPr>
        <w:adjustRightInd/>
        <w:spacing w:line="360" w:lineRule="auto"/>
        <w:ind w:left="0"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color w:val="000000"/>
          <w:highlight w:val="none"/>
        </w:rPr>
        <w:t>管理人行使提前终止权的日期，即本理财计划被提前终止、开始停止计算收益的日期。</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资金到账日：</w:t>
      </w:r>
      <w:r>
        <w:rPr>
          <w:rFonts w:hint="eastAsia" w:ascii="宋体" w:hAnsi="宋体" w:cs="宋体"/>
          <w:bCs/>
          <w:color w:val="000000"/>
          <w:highlight w:val="none"/>
        </w:rPr>
        <w:t>指理财计划终止运作后，资金返还至投资者账户的日期。</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开放期：</w:t>
      </w:r>
      <w:r>
        <w:rPr>
          <w:rFonts w:hint="eastAsia" w:ascii="宋体" w:hAnsi="宋体" w:cs="宋体"/>
          <w:bCs/>
          <w:color w:val="000000"/>
          <w:highlight w:val="none"/>
        </w:rPr>
        <w:t>指管理人向投资者提供申购</w:t>
      </w:r>
      <w:r>
        <w:rPr>
          <w:rFonts w:hint="eastAsia" w:ascii="宋体" w:hAnsi="宋体" w:cs="宋体"/>
          <w:bCs/>
          <w:color w:val="000000"/>
          <w:highlight w:val="none"/>
          <w:lang w:eastAsia="zh-CN"/>
        </w:rPr>
        <w:t>、</w:t>
      </w:r>
      <w:r>
        <w:rPr>
          <w:rFonts w:hint="eastAsia" w:ascii="宋体" w:hAnsi="宋体" w:cs="宋体"/>
          <w:bCs/>
          <w:color w:val="000000"/>
          <w:highlight w:val="none"/>
          <w:lang w:val="en-US" w:eastAsia="zh-CN"/>
        </w:rPr>
        <w:t>赎回</w:t>
      </w:r>
      <w:r>
        <w:rPr>
          <w:rFonts w:hint="eastAsia" w:ascii="宋体" w:hAnsi="宋体" w:cs="宋体"/>
          <w:bCs/>
          <w:color w:val="000000"/>
          <w:highlight w:val="none"/>
        </w:rPr>
        <w:t>交易的时间。</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理财计划费用/产品费用：</w:t>
      </w:r>
      <w:r>
        <w:rPr>
          <w:rFonts w:hint="eastAsia" w:ascii="宋体" w:hAnsi="宋体" w:cs="宋体"/>
          <w:bCs/>
          <w:color w:val="000000"/>
          <w:highlight w:val="none"/>
        </w:rPr>
        <w:t>指管理人为成立理财计划及处理理财计划事务而支出的所有费用，包括但不限于管理人收取的固定管理费、浮动管理费、</w:t>
      </w:r>
      <w:r>
        <w:rPr>
          <w:rFonts w:hint="eastAsia" w:ascii="宋体" w:hAnsi="宋体" w:cs="宋体"/>
          <w:bCs/>
          <w:color w:val="000000"/>
          <w:highlight w:val="none"/>
          <w:lang w:eastAsia="zh-CN"/>
        </w:rPr>
        <w:t>销售服务费</w:t>
      </w:r>
      <w:r>
        <w:rPr>
          <w:rFonts w:hint="eastAsia" w:ascii="宋体" w:hAnsi="宋体" w:cs="宋体"/>
          <w:bCs/>
          <w:color w:val="000000"/>
          <w:highlight w:val="none"/>
        </w:rPr>
        <w:t>、托管人收取的托管费、交易费用、执行费用等相关费用，具体以</w:t>
      </w:r>
      <w:r>
        <w:rPr>
          <w:rFonts w:hint="eastAsia" w:ascii="宋体" w:hAnsi="宋体" w:cs="宋体"/>
          <w:bCs/>
          <w:color w:val="000000"/>
          <w:highlight w:val="none"/>
          <w:lang w:eastAsia="zh-CN"/>
        </w:rPr>
        <w:t>实际发生</w:t>
      </w:r>
      <w:r>
        <w:rPr>
          <w:rFonts w:hint="eastAsia" w:ascii="宋体" w:hAnsi="宋体" w:cs="宋体"/>
          <w:bCs/>
          <w:color w:val="000000"/>
          <w:highlight w:val="none"/>
        </w:rPr>
        <w:t>为准。</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bCs w:val="0"/>
          <w:color w:val="000000"/>
          <w:highlight w:val="none"/>
          <w:lang w:eastAsia="zh-CN"/>
        </w:rPr>
        <w:t>其他费用：</w:t>
      </w:r>
      <w:r>
        <w:rPr>
          <w:rFonts w:hint="eastAsia" w:ascii="宋体" w:hAnsi="宋体" w:cs="宋体"/>
          <w:b w:val="0"/>
          <w:bCs/>
          <w:color w:val="000000"/>
          <w:highlight w:val="none"/>
          <w:lang w:eastAsia="zh-CN"/>
        </w:rPr>
        <w:t>指除理财计划费用以外，理财计划涉及的其他相关费用，包括但不限于认购费、申购费、赎回费、投顾费等，具体以</w:t>
      </w:r>
      <w:r>
        <w:rPr>
          <w:rFonts w:hint="eastAsia" w:ascii="宋体" w:hAnsi="宋体" w:cs="宋体"/>
          <w:bCs/>
          <w:color w:val="000000"/>
          <w:highlight w:val="none"/>
        </w:rPr>
        <w:t>本说明书第八条约定</w:t>
      </w:r>
      <w:r>
        <w:rPr>
          <w:rFonts w:hint="eastAsia" w:ascii="宋体" w:hAnsi="宋体" w:cs="宋体"/>
          <w:b w:val="0"/>
          <w:bCs/>
          <w:color w:val="000000"/>
          <w:highlight w:val="none"/>
          <w:lang w:eastAsia="zh-CN"/>
        </w:rPr>
        <w:t>为准。</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理财计划估值：</w:t>
      </w:r>
      <w:r>
        <w:rPr>
          <w:rFonts w:hint="eastAsia" w:ascii="宋体" w:hAnsi="宋体" w:cs="宋体"/>
          <w:bCs/>
          <w:color w:val="000000"/>
          <w:highlight w:val="none"/>
        </w:rPr>
        <w:t>指计算评估理财计划资产以确定理财计划份额净值的过程。</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bCs w:val="0"/>
          <w:color w:val="000000"/>
          <w:kern w:val="2"/>
          <w:highlight w:val="none"/>
          <w:lang w:eastAsia="zh-CN"/>
        </w:rPr>
        <w:t>流</w:t>
      </w:r>
      <w:r>
        <w:rPr>
          <w:rFonts w:hint="eastAsia"/>
          <w:b/>
          <w:bCs w:val="0"/>
          <w:color w:val="000000"/>
          <w:highlight w:val="none"/>
          <w:lang w:val="en-US" w:eastAsia="zh-CN"/>
        </w:rPr>
        <w:t>动性受限资产：</w:t>
      </w:r>
      <w:r>
        <w:rPr>
          <w:rFonts w:hint="eastAsia"/>
          <w:color w:val="000000"/>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b/>
          <w:bCs/>
          <w:color w:val="000000"/>
          <w:highlight w:val="none"/>
          <w:lang w:val="en-US" w:eastAsia="zh-CN"/>
        </w:rPr>
        <w:t>7个工作日可变现资产：</w:t>
      </w:r>
      <w:r>
        <w:rPr>
          <w:rFonts w:hint="eastAsia"/>
          <w:color w:val="000000"/>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16"/>
        </w:numPr>
        <w:adjustRightInd/>
        <w:spacing w:line="360" w:lineRule="auto"/>
        <w:ind w:firstLine="482" w:firstLineChars="200"/>
        <w:rPr>
          <w:rFonts w:hint="eastAsia" w:ascii="宋体" w:hAnsi="宋体" w:cs="宋体"/>
          <w:b/>
          <w:color w:val="000000"/>
          <w:kern w:val="2"/>
          <w:highlight w:val="none"/>
        </w:rPr>
      </w:pPr>
      <w:r>
        <w:rPr>
          <w:rFonts w:hint="eastAsia"/>
          <w:b/>
          <w:bCs/>
          <w:color w:val="000000"/>
          <w:highlight w:val="none"/>
          <w:lang w:val="en-US" w:eastAsia="zh-CN"/>
        </w:rPr>
        <w:t>投资退出期：</w:t>
      </w:r>
      <w:r>
        <w:rPr>
          <w:rFonts w:hint="eastAsia" w:ascii="Times New Roman" w:hAnsi="Times New Roman" w:eastAsia="宋体" w:cs="Times New Roman"/>
          <w:color w:val="000000"/>
          <w:highlight w:val="none"/>
          <w:lang w:val="en-US" w:eastAsia="zh-CN"/>
        </w:rPr>
        <w:t>是指理财计划临近到期前，管理人通过资产变现用以进行资金交割清算的准备期。</w:t>
      </w:r>
    </w:p>
    <w:p>
      <w:pPr>
        <w:pStyle w:val="20"/>
        <w:numPr>
          <w:ilvl w:val="0"/>
          <w:numId w:val="13"/>
        </w:numPr>
        <w:adjustRightInd/>
        <w:spacing w:line="360" w:lineRule="auto"/>
        <w:ind w:firstLine="482" w:firstLineChars="200"/>
        <w:outlineLvl w:val="9"/>
        <w:rPr>
          <w:rFonts w:hint="eastAsia" w:ascii="宋体" w:hAnsi="宋体" w:cs="宋体"/>
          <w:b/>
          <w:color w:val="000000"/>
          <w:kern w:val="2"/>
          <w:highlight w:val="none"/>
        </w:rPr>
      </w:pPr>
      <w:r>
        <w:rPr>
          <w:rFonts w:hint="eastAsia" w:ascii="宋体" w:hAnsi="宋体" w:cs="宋体"/>
          <w:b/>
          <w:color w:val="000000"/>
          <w:kern w:val="2"/>
          <w:highlight w:val="none"/>
        </w:rPr>
        <w:t>相关事件用语</w:t>
      </w:r>
    </w:p>
    <w:p>
      <w:pPr>
        <w:pStyle w:val="20"/>
        <w:numPr>
          <w:ilvl w:val="0"/>
          <w:numId w:val="17"/>
        </w:numPr>
        <w:adjustRightInd/>
        <w:spacing w:line="360" w:lineRule="auto"/>
        <w:ind w:firstLine="482" w:firstLineChars="200"/>
        <w:rPr>
          <w:rFonts w:hint="eastAsia" w:ascii="宋体" w:hAnsi="宋体" w:cs="宋体"/>
          <w:bCs/>
          <w:color w:val="000000"/>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color w:val="000000"/>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18"/>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18"/>
        </w:numPr>
        <w:adjustRightInd/>
        <w:spacing w:line="360" w:lineRule="auto"/>
        <w:ind w:firstLine="482" w:firstLineChars="200"/>
        <w:rPr>
          <w:rFonts w:hint="eastAsia" w:ascii="宋体" w:hAnsi="宋体" w:cs="宋体"/>
          <w:b/>
          <w:bCs w:val="0"/>
          <w:color w:val="000000"/>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18"/>
        </w:numPr>
        <w:adjustRightInd/>
        <w:spacing w:line="360" w:lineRule="auto"/>
        <w:ind w:firstLine="482" w:firstLineChars="200"/>
        <w:rPr>
          <w:rFonts w:hint="eastAsia" w:ascii="宋体" w:hAnsi="宋体" w:cs="宋体"/>
          <w:b/>
          <w:bCs w:val="0"/>
          <w:color w:val="000000"/>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000000"/>
          <w:kern w:val="2"/>
          <w:highlight w:val="none"/>
        </w:rPr>
      </w:pPr>
    </w:p>
    <w:p>
      <w:pPr>
        <w:pStyle w:val="20"/>
        <w:numPr>
          <w:ilvl w:val="0"/>
          <w:numId w:val="19"/>
        </w:numPr>
        <w:adjustRightInd/>
        <w:spacing w:line="360" w:lineRule="auto"/>
        <w:ind w:firstLine="482" w:firstLineChars="200"/>
        <w:outlineLvl w:val="9"/>
        <w:rPr>
          <w:rFonts w:hint="eastAsia" w:ascii="宋体" w:hAnsi="宋体" w:cs="宋体"/>
          <w:b/>
          <w:color w:val="000000"/>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000000"/>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000000"/>
          <w:kern w:val="2"/>
          <w:highlight w:val="none"/>
        </w:rPr>
      </w:pPr>
    </w:p>
    <w:p>
      <w:pPr>
        <w:pStyle w:val="20"/>
        <w:numPr>
          <w:ilvl w:val="0"/>
          <w:numId w:val="19"/>
        </w:numPr>
        <w:adjustRightInd/>
        <w:spacing w:line="360" w:lineRule="auto"/>
        <w:outlineLvl w:val="9"/>
        <w:rPr>
          <w:rFonts w:hint="eastAsia" w:ascii="宋体" w:hAnsi="宋体" w:cs="宋体"/>
          <w:b/>
          <w:color w:val="000000"/>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幸福99益合·添益（年年红）1年定开型2530期理财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添益（年年红）1年定开型2530期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TYG12M2530</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Z7002225000280</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A份额（销售代码〖TYG12M2530A〗）：普通个人投资者和机构投资者。</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B份额（销售代码〖TYG12M2530B〗）：普通个人投资者和机构投资者。</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H份额（销售代码〖TYG12M2530H〗）：普通个人投资者和机构客户。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L份额（销售代码〖TYG12M2530L〗）：兰州银行专属，面向〖普通个人投资者和机构投资者〗发售。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ZA份额（自动赎回）（销售代码〖TYG12M2530ZA〗）：普通个人投资者和机构客户。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ZB份额（自动赎回）（销售代码〖TYG12M2530ZB〗）：普通个人投资者和机构客户。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ZC份额（自动赎回）（销售代码〖TYG12M2530ZC〗）：普通个人投资者和机构客户。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ZD份额（自动赎回）（销售代码〖TYG12M2530ZD〗）：普通个人投资者和机构客户。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ZG份额（自动赎回）（销售代码〖TYG12M2530ZG〗）：普通个人投资者和机构客户。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ZH份额（自动赎回）（销售代码〖TYG12M2530ZH〗）：普通个人投资者和机构客户。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ZI份额（自动赎回）（销售代码〖TYG12M2530ZI〗）：普通个人投资者和机构客户。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ZJ份额（自动赎回）（销售代码〖TYG12M2530ZJ〗）：普通个人投资者和机构客户。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14</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15</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〖L份额〗起点〖0.01〗元整，超过认购/申购起点部分，应为〖0.01〗元的整数倍。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〖ZB份额〗起点〖0.01〗元整，超过认购/申购起点部分，应为〖0.01〗元的整数倍。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〖ZC份额〗起点〖0.01〗元整，超过认购/申购起点部分，应为〖0.01〗元的整数倍。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〖ZD份额〗起点〖0.01〗元整，超过认购/申购起点部分，应为〖0.01〗元的整数倍。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〖ZG份额〗起点〖0.01〗元整，超过认购/申购起点部分，应为〖0.01〗元的整数倍。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〖ZH份额〗起点〖0.01〗元整，超过认购/申购起点部分，应为〖0.01〗元的整数倍。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〖ZI份额〗起点〖0.01〗元整，超过认购/申购起点部分，应为〖0.01〗元的整数倍。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〖ZJ份额〗起点〖0.01〗元整，超过认购/申购起点部分，应为〖0.01〗元的整数倍。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每年</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00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
              </w:rPr>
              <w:t>ZA份额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ZG份额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ZH份额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ZI份额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ZJ份额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无需进行赎回申请，在每个投资周期结束日由系统自动为所有持仓投资者发起全部持有份额赎回申请，上一投资周期投资者的所有持仓份额不会进入下一个投资周期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highlight w:val="none"/>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〖ZG份额〗单户持有上限为〖1〗亿元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〖ZI份额〗单户持有上限为〖1〗亿元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〖ZJ份额〗单户持有上限为〖1〗亿元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理财计划总份额，单位净值〖保留小数点后四位〗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highlight w:val="none"/>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color w:val="000000"/>
                <w:sz w:val="21"/>
                <w:szCs w:val="21"/>
                <w:highlight w:val="none"/>
              </w:rPr>
            </w:pPr>
            <w:r>
              <w:rPr>
                <w:rFonts w:hint="eastAsia" w:ascii="宋体" w:hAnsi="宋体" w:cs="宋体"/>
                <w:color w:val="000000"/>
                <w:sz w:val="21"/>
                <w:szCs w:val="21"/>
                <w:highlight w:val="none"/>
              </w:rPr>
              <w:t>在满足收益分配基准日理财计划份额净值大于1元的情况下，管理人将〖定期〗将大于1元部分的收益进行全部或部分收益分配，具体分配方案以管理人公告为准。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本理财计划〖A份额〗业绩比较基准为〖2.35%-2.55%〗（年化）。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本理财计划〖B份额〗业绩比较基准为〖2.45%-2.65%〗（年化）。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本理财计划〖H份额〗业绩比较基准为〖2.35%-2.55%〗（年化）。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本理财计划〖L份额〗业绩比较基准为〖2.45%-2.65%〗（年化）。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本理财计划〖ZA份额〗业绩比较基准为〖2.35%-2.55%〗（年化）。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本理财计划〖ZB份额〗业绩比较基准为〖2.45%-2.65%〗（年化）。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本理财计划〖ZC份额〗业绩比较基准为〖2.55%-2.75%〗（年化）。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本理财计划〖ZD份额〗业绩比较基准为〖2.50%-2.70%〗（年化）。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本理财计划〖ZG份额〗业绩比较基准为〖2.50%-2.70%〗（年化）。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本理财计划〖ZH份额〗业绩比较基准为〖2.65%-2.85%〗（年化）。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本理财计划〖ZI份额〗业绩比较基准为〖2.55%-2.75%〗（年化）。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本理财计划〖ZJ份额〗业绩比较基准为〖2.60%-2.80%〗（年化）。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00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highlight w:val="none"/>
                <w:lang w:val="en-US" w:eastAsia="zh-CN" w:bidi="ar-SA"/>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color w:val="000000"/>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000000"/>
                <w:sz w:val="21"/>
                <w:szCs w:val="21"/>
                <w:highlight w:val="none"/>
                <w:lang w:eastAsia="zh-CN"/>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 〖ZG份额〗收取年化〖0.20%〗的销售服务费, 〖ZH份额〗收取年化〖0.05%〗的销售服务费, 〖ZI份额〗收取年化〖0.15%〗的销售服务费, 〖ZJ份额〗收取年化〖0.10%〗的销售服务费。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〖ZG份额〗收取年化〖0.15%〗的固定管理费, 〖ZH份额〗收取年化〖0.15%〗的固定管理费, 〖ZI份额〗收取年化〖0.15%〗的固定管理费, 〖ZJ份额〗收取年化〖0.15%〗的固定管理费。</w:t>
            </w:r>
            <w:r>
              <w:rPr>
                <w:rFonts w:hint="eastAsia" w:ascii="宋体" w:hAnsi="宋体" w:cs="宋体"/>
                <w:color w:val="000000"/>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〖ZG份额〗</w:t>
            </w:r>
            <w:r>
              <w:rPr>
                <w:rFonts w:hint="eastAsia" w:ascii="宋体" w:hAnsi="宋体" w:cs="宋体"/>
                <w:b w:val="0"/>
                <w:bCs w:val="0"/>
                <w:color w:val="000000"/>
                <w:kern w:val="0"/>
                <w:sz w:val="21"/>
                <w:szCs w:val="21"/>
                <w:highlight w:val="none"/>
                <w:lang w:val="en-US" w:eastAsia="zh-CN" w:bidi="ar"/>
              </w:rPr>
              <w:t>、</w:t>
            </w:r>
            <w:r>
              <w:rPr>
                <w:rFonts w:hint="eastAsia" w:ascii="宋体" w:hAnsi="宋体" w:eastAsia="宋体" w:cs="宋体"/>
                <w:color w:val="000000"/>
                <w:kern w:val="2"/>
                <w:sz w:val="21"/>
                <w:szCs w:val="21"/>
                <w:highlight w:val="none"/>
                <w:lang w:val="en-US" w:eastAsia="zh-CN" w:bidi="ar-SA"/>
              </w:rPr>
              <w:t>〖ZH份额〗</w:t>
            </w:r>
            <w:r>
              <w:rPr>
                <w:rFonts w:hint="eastAsia" w:ascii="宋体" w:hAnsi="宋体" w:cs="宋体"/>
                <w:b w:val="0"/>
                <w:bCs w:val="0"/>
                <w:color w:val="000000"/>
                <w:kern w:val="0"/>
                <w:sz w:val="21"/>
                <w:szCs w:val="21"/>
                <w:highlight w:val="none"/>
                <w:lang w:val="en-US" w:eastAsia="zh-CN" w:bidi="ar"/>
              </w:rPr>
              <w:t>、</w:t>
            </w:r>
            <w:r>
              <w:rPr>
                <w:rFonts w:hint="eastAsia" w:ascii="宋体" w:hAnsi="宋体" w:eastAsia="宋体" w:cs="宋体"/>
                <w:color w:val="000000"/>
                <w:kern w:val="2"/>
                <w:sz w:val="21"/>
                <w:szCs w:val="21"/>
                <w:highlight w:val="none"/>
                <w:lang w:val="en-US" w:eastAsia="zh-CN" w:bidi="ar-SA"/>
              </w:rPr>
              <w:t>〖ZI份额〗</w:t>
            </w:r>
            <w:r>
              <w:rPr>
                <w:rFonts w:hint="eastAsia" w:ascii="宋体" w:hAnsi="宋体" w:cs="宋体"/>
                <w:b w:val="0"/>
                <w:bCs w:val="0"/>
                <w:color w:val="000000"/>
                <w:kern w:val="0"/>
                <w:sz w:val="21"/>
                <w:szCs w:val="21"/>
                <w:highlight w:val="none"/>
                <w:lang w:val="en-US" w:eastAsia="zh-CN" w:bidi="ar"/>
              </w:rPr>
              <w:t>、</w:t>
            </w:r>
            <w:r>
              <w:rPr>
                <w:rFonts w:hint="eastAsia" w:ascii="宋体" w:hAnsi="宋体" w:eastAsia="宋体" w:cs="宋体"/>
                <w:color w:val="000000"/>
                <w:kern w:val="2"/>
                <w:sz w:val="21"/>
                <w:szCs w:val="21"/>
                <w:highlight w:val="none"/>
                <w:lang w:val="en-US" w:eastAsia="zh-CN" w:bidi="ar-SA"/>
              </w:rPr>
              <w:t>〖ZJ份额〗</w:t>
            </w:r>
            <w:r>
              <w:rPr>
                <w:rFonts w:hint="eastAsia" w:ascii="宋体" w:hAnsi="宋体" w:cs="宋体"/>
                <w:color w:val="000000"/>
                <w:kern w:val="2"/>
                <w:sz w:val="21"/>
                <w:szCs w:val="21"/>
                <w:highlight w:val="none"/>
                <w:lang w:val="en-US" w:eastAsia="zh-CN" w:bidi="ar-SA"/>
              </w:rPr>
              <w:t>从下一运作周期开始收取年化</w:t>
            </w:r>
            <w:r>
              <w:rPr>
                <w:rFonts w:hint="eastAsia" w:ascii="宋体" w:hAnsi="宋体" w:eastAsia="宋体" w:cs="宋体"/>
                <w:color w:val="000000"/>
                <w:kern w:val="2"/>
                <w:sz w:val="21"/>
                <w:szCs w:val="21"/>
                <w:highlight w:val="none"/>
                <w:lang w:val="en-US" w:eastAsia="zh-CN" w:bidi="ar-SA"/>
              </w:rPr>
              <w:t>〖0.20%〗的固定管理费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20"/>
        </w:numPr>
        <w:spacing w:line="360" w:lineRule="auto"/>
        <w:ind w:firstLine="482" w:firstLineChars="200"/>
        <w:outlineLvl w:val="9"/>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21"/>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21"/>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r>
              <w:rPr>
                <w:rFonts w:ascii="宋体" w:hAnsi="宋体" w:eastAsia="宋体" w:cs="宋体"/>
              </w:rPr>
              <w:t>特殊资产类型</w:t>
            </w:r>
          </w:p>
        </w:tc>
        <w:tc>
          <w:tcPr>
            <w:tcW w:w="4500" w:type="dxa"/>
            <w:vAlign w:val="center"/>
          </w:tcPr>
          <w:p>
            <w:pPr>
              <w:jc w:val="center"/>
              <w:textAlignment w:val="center"/>
            </w:pPr>
            <w:r>
              <w:rPr>
                <w:rFonts w:ascii="宋体" w:hAnsi="宋体" w:eastAsia="宋体" w:cs="宋体"/>
              </w:rPr>
              <w:t>非标准化债权类资产</w:t>
            </w:r>
          </w:p>
        </w:tc>
        <w:tc>
          <w:tcPr>
            <w:tcW w:w="2000" w:type="dxa"/>
            <w:vAlign w:val="center"/>
          </w:tcPr>
          <w:p>
            <w:pPr>
              <w:jc w:val="center"/>
              <w:textAlignment w:val="center"/>
            </w:pPr>
            <w:r>
              <w:rPr>
                <w:rFonts w:ascii="宋体" w:hAnsi="宋体" w:eastAsia="宋体" w:cs="宋体"/>
              </w:rPr>
              <w:t>0%-50%</w:t>
            </w:r>
          </w:p>
        </w:tc>
      </w:tr>
    </w:tbl>
    <w:p>
      <w:pPr>
        <w:pStyle w:val="20"/>
        <w:numPr>
          <w:ilvl w:val="0"/>
          <w:numId w:val="22"/>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22"/>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22"/>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22"/>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22"/>
        </w:numPr>
        <w:adjustRightInd/>
        <w:spacing w:line="360" w:lineRule="auto"/>
        <w:ind w:firstLine="458" w:firstLineChars="190"/>
        <w:rPr>
          <w:rFonts w:hint="eastAsia" w:ascii="宋体" w:hAnsi="宋体" w:cs="宋体"/>
          <w:bCs/>
          <w:color w:val="000000"/>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21"/>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投资策略</w:t>
      </w:r>
    </w:p>
    <w:p>
      <w:pPr>
        <w:pStyle w:val="9"/>
        <w:keepNext w:val="0"/>
        <w:keepLines w:val="0"/>
        <w:widowControl w:val="0"/>
        <w:numPr>
          <w:ilvl w:val="0"/>
          <w:numId w:val="23"/>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highlight w:val="none"/>
        </w:rPr>
      </w:pPr>
      <w:r>
        <w:rPr>
          <w:rFonts w:hint="eastAsia" w:ascii="宋体" w:hAnsi="宋体" w:eastAsia="宋体" w:cs="宋体"/>
          <w:color w:val="000000"/>
          <w:kern w:val="2"/>
          <w:sz w:val="24"/>
          <w:szCs w:val="24"/>
          <w:highlight w:val="none"/>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24"/>
        </w:numPr>
        <w:suppressLineNumbers w:val="0"/>
        <w:spacing w:before="0" w:beforeAutospacing="0" w:after="0" w:afterAutospacing="0" w:line="360" w:lineRule="auto"/>
        <w:ind w:left="0" w:right="0" w:firstLine="403"/>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kern w:val="2"/>
          <w:sz w:val="24"/>
          <w:szCs w:val="24"/>
          <w:highlight w:val="none"/>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24"/>
        </w:numPr>
        <w:suppressLineNumbers w:val="0"/>
        <w:spacing w:before="0" w:beforeAutospacing="0" w:after="0" w:afterAutospacing="0" w:line="360" w:lineRule="auto"/>
        <w:ind w:left="0" w:right="0" w:firstLine="403"/>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管理人发挥自身能力优势，在合规前提下开展风险可控、期限匹配的非标准化债权类资产投资，力争获取稳定收益。</w:t>
      </w:r>
    </w:p>
    <w:p>
      <w:pPr>
        <w:numPr>
          <w:ilvl w:val="0"/>
          <w:numId w:val="21"/>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color w:val="000000"/>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2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投资集中度限制</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2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2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2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2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2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本理财计划的总资产不得超过净资产的140%。</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流动性限制</w:t>
      </w:r>
    </w:p>
    <w:p>
      <w:pPr>
        <w:numPr>
          <w:ilvl w:val="0"/>
          <w:numId w:val="2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2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29"/>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9"/>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9"/>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28"/>
        </w:numPr>
        <w:spacing w:line="360" w:lineRule="auto"/>
        <w:ind w:firstLine="480" w:firstLineChars="200"/>
        <w:jc w:val="left"/>
        <w:rPr>
          <w:rFonts w:hint="default"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21"/>
        </w:numPr>
        <w:spacing w:line="360" w:lineRule="auto"/>
        <w:ind w:left="0" w:leftChars="0" w:firstLine="482" w:firstLineChars="200"/>
        <w:jc w:val="left"/>
        <w:outlineLvl w:val="9"/>
        <w:rPr>
          <w:rFonts w:hint="eastAsia" w:ascii="宋体" w:hAnsi="宋体" w:cs="宋体"/>
          <w:b/>
          <w:bCs w:val="0"/>
          <w:color w:val="00000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color w:val="000000"/>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3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3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3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color w:val="000000"/>
          <w:sz w:val="24"/>
          <w:highlight w:val="none"/>
          <w:lang w:val="en-US" w:eastAsia="zh-CN"/>
        </w:rPr>
      </w:pPr>
    </w:p>
    <w:p>
      <w:pPr>
        <w:numPr>
          <w:ilvl w:val="0"/>
          <w:numId w:val="32"/>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合作机构及主要职责</w:t>
      </w:r>
    </w:p>
    <w:p>
      <w:pPr>
        <w:numPr>
          <w:ilvl w:val="0"/>
          <w:numId w:val="33"/>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color w:val="000000"/>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000000"/>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000000"/>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34"/>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兰州银行股份有限公司</w:t>
            </w:r>
          </w:p>
        </w:tc>
        <w:tc>
          <w:tcPr>
            <w:tcW w:w="1200" w:type="dxa"/>
            <w:vAlign w:val="center"/>
          </w:tcPr>
          <w:p>
            <w:pPr>
              <w:jc w:val="left"/>
            </w:pPr>
            <w:r>
              <w:t>住所</w:t>
            </w:r>
          </w:p>
        </w:tc>
        <w:tc>
          <w:tcPr>
            <w:tcW w:w="3800" w:type="dxa"/>
            <w:vAlign w:val="center"/>
          </w:tcPr>
          <w:p>
            <w:pPr>
              <w:jc w:val="center"/>
            </w:pPr>
            <w: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color w:val="000000"/>
          <w:sz w:val="24"/>
          <w:highlight w:val="none"/>
        </w:rPr>
      </w:pPr>
    </w:p>
    <w:p>
      <w:pPr>
        <w:numPr>
          <w:ilvl w:val="0"/>
          <w:numId w:val="32"/>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估值</w:t>
      </w:r>
    </w:p>
    <w:p>
      <w:pPr>
        <w:numPr>
          <w:ilvl w:val="0"/>
          <w:numId w:val="35"/>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35"/>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35"/>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35"/>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color w:val="000000"/>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36"/>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color w:val="000000"/>
          <w:kern w:val="2"/>
          <w:highlight w:val="none"/>
          <w:lang w:eastAsia="zh-CN"/>
        </w:rPr>
      </w:pPr>
      <w:r>
        <w:rPr>
          <w:rFonts w:hint="eastAsia" w:ascii="宋体" w:hAnsi="宋体" w:cs="宋体"/>
          <w:bCs/>
          <w:color w:val="000000"/>
          <w:kern w:val="2"/>
          <w:highlight w:val="none"/>
          <w:lang w:eastAsia="zh-CN"/>
        </w:rPr>
        <w:t>银行存款</w:t>
      </w:r>
      <w:r>
        <w:rPr>
          <w:rFonts w:hint="eastAsia" w:ascii="宋体" w:hAnsi="宋体" w:cs="宋体"/>
          <w:bCs/>
          <w:color w:val="000000"/>
          <w:kern w:val="2"/>
          <w:highlight w:val="none"/>
        </w:rPr>
        <w:t>及回购，以本金列示，按商定利率在实际持有期间内逐日计提利息。</w:t>
      </w:r>
    </w:p>
    <w:p>
      <w:pPr>
        <w:numPr>
          <w:ilvl w:val="0"/>
          <w:numId w:val="36"/>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36"/>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36"/>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37"/>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37"/>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37"/>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36"/>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36"/>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color w:val="000000"/>
          <w:kern w:val="2"/>
          <w:highlight w:val="none"/>
          <w:lang w:eastAsia="zh-CN"/>
        </w:rPr>
        <w:t>按最能反映公允价值的价格估值，</w:t>
      </w:r>
      <w:r>
        <w:rPr>
          <w:rFonts w:hint="eastAsia" w:ascii="宋体" w:hAnsi="宋体" w:cs="宋体"/>
          <w:bCs/>
          <w:color w:val="000000"/>
          <w:kern w:val="2"/>
          <w:highlight w:val="none"/>
        </w:rPr>
        <w:t>并自协商一致日后执行。</w:t>
      </w:r>
    </w:p>
    <w:p>
      <w:pPr>
        <w:pStyle w:val="20"/>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35"/>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35"/>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暂停估值情形</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35"/>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32"/>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费用及税收</w:t>
      </w:r>
    </w:p>
    <w:p>
      <w:pPr>
        <w:numPr>
          <w:ilvl w:val="0"/>
          <w:numId w:val="39"/>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9"/>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费用计提方法、标准及支付方式</w:t>
      </w:r>
    </w:p>
    <w:p>
      <w:pPr>
        <w:numPr>
          <w:ilvl w:val="0"/>
          <w:numId w:val="40"/>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ZG份额〗、〖ZH份额〗、〖ZI份额〗、〖ZJ份额〗。A份额的年化销售服务费率为〖0.30%〗, B份额的年化销售服务费率为〖0.20%〗, H份额的年化销售服务费率为〖0.30%〗, L份额的年化销售服务费率为〖0.</w:t>
      </w:r>
      <w:r>
        <w:rPr>
          <w:rFonts w:hint="eastAsia" w:ascii="宋体" w:hAnsi="宋体" w:cs="宋体"/>
          <w:b w:val="0"/>
          <w:i w:val="0"/>
          <w:caps w:val="0"/>
          <w:strike w:val="0"/>
          <w:dstrike w:val="0"/>
          <w:shadow w:val="0"/>
          <w:emboss w:val="0"/>
          <w:imprint w:val="0"/>
          <w:color w:val="000000"/>
          <w:kern w:val="2"/>
          <w:position w:val="-1"/>
          <w:sz w:val="24"/>
          <w:u w:val="none"/>
          <w:vertAlign w:val="baseline"/>
          <w:lang w:val="en-US" w:eastAsia="zh-CN"/>
        </w:rPr>
        <w:t>2</w:t>
      </w:r>
      <w:r>
        <w:rPr>
          <w:rFonts w:ascii="宋体" w:hAnsi="宋体" w:eastAsia="宋体" w:cs="宋体"/>
          <w:b w:val="0"/>
          <w:i w:val="0"/>
          <w:caps w:val="0"/>
          <w:strike w:val="0"/>
          <w:dstrike w:val="0"/>
          <w:shadow w:val="0"/>
          <w:emboss w:val="0"/>
          <w:imprint w:val="0"/>
          <w:color w:val="000000"/>
          <w:kern w:val="2"/>
          <w:position w:val="-1"/>
          <w:sz w:val="24"/>
          <w:u w:val="none"/>
          <w:vertAlign w:val="baseline"/>
        </w:rPr>
        <w:t>0%〗, ZA份额的年化销售服务费率为〖0.30%〗, ZB份额的年化销售服务费率为〖0.20%〗, ZC份额的年化销售服务费率为〖0.10%〗, ZD份额的年化销售服务费率为〖0.15%〗, ZG份额的年化销售服务费率为〖0.20%〗, ZH份额的年化销售服务费率为〖0.05%〗, ZI份额的年化销售服务费率为〖0.15%〗, ZJ份额的年化销售服务费率为〖0.10%〗。计算方法如下：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40"/>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szCs w:val="24"/>
          <w:highlight w:val="none"/>
        </w:rPr>
        <w:t>托管费原则上按日计提。</w:t>
      </w:r>
    </w:p>
    <w:p>
      <w:pPr>
        <w:numPr>
          <w:ilvl w:val="0"/>
          <w:numId w:val="40"/>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ZG份额的年化固定管理费率为〖0.15%〗, ZH份额的年化固定管理费率为〖0.15%〗, ZI份额的年化固定管理费率为〖0.15%〗, ZJ份额的年化固定管理费率为〖0.15%〗,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highlight w:val="none"/>
          <w:lang w:val="en-US" w:eastAsia="zh-CN" w:bidi="ar"/>
        </w:rPr>
        <w:t>管理人有权根据实际运作情况减免固定管理费。</w:t>
      </w:r>
    </w:p>
    <w:p>
      <w:pPr>
        <w:numPr>
          <w:ilvl w:val="0"/>
          <w:numId w:val="40"/>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41"/>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本理财计划免除申购费。</w:t>
      </w:r>
    </w:p>
    <w:p>
      <w:pPr>
        <w:numPr>
          <w:ilvl w:val="0"/>
          <w:numId w:val="41"/>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本理财计划免除赎回费。</w:t>
      </w:r>
    </w:p>
    <w:p>
      <w:pPr>
        <w:numPr>
          <w:ilvl w:val="0"/>
          <w:numId w:val="42"/>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（1）若本理财计划份额投资周期的折合年化收益率超过业绩比较基准下限但未达到业绩比较基准上限，则超过业绩比较基准下限的部分管理人收取〖50%〗作为浮动管理费，即：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2）若本理财计划份额投资周期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H为产品〖A份额〗当前确认日应收取浮动管理费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R为产品〖A份额〗业绩比较基准上限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highlight w:val="none"/>
          <w:lang w:val="en-US" w:eastAsia="zh-CN" w:bidi="ar"/>
        </w:rPr>
        <w:t>S为产品〖A份额〗业绩比较基准下限</w:t>
      </w:r>
    </w:p>
    <w:p>
      <w:pPr>
        <w:numPr>
          <w:ilvl w:val="0"/>
          <w:numId w:val="43"/>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财产管理、运用或处分过程中发生的税费。</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代理机构手续费、管理费、财务顾问费、保管费。</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审计费、律师费、公证费等费用。</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color w:val="000000"/>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45"/>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税收说明</w:t>
      </w:r>
    </w:p>
    <w:p>
      <w:pPr>
        <w:numPr>
          <w:ilvl w:val="0"/>
          <w:numId w:val="46"/>
        </w:numPr>
        <w:spacing w:line="360" w:lineRule="auto"/>
        <w:ind w:firstLine="480" w:firstLineChars="200"/>
        <w:jc w:val="left"/>
        <w:rPr>
          <w:color w:val="000000"/>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4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46"/>
        </w:num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color w:val="000000"/>
          <w:sz w:val="24"/>
          <w:highlight w:val="none"/>
        </w:rPr>
      </w:pPr>
    </w:p>
    <w:p>
      <w:pPr>
        <w:numPr>
          <w:ilvl w:val="0"/>
          <w:numId w:val="32"/>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收益计算</w:t>
      </w:r>
    </w:p>
    <w:p>
      <w:pPr>
        <w:numPr>
          <w:ilvl w:val="0"/>
          <w:numId w:val="47"/>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47"/>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48"/>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扣除浮动管理费后，理财计划的单位净值大于1，故理财计划进行现金分红，分红金额为4,701.23元，分红后产品的单位净值为1.0000。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投资者最终收益为：100,000.00×（1.0000-1.0000）+4,701.23=4,701.23（元），理财计划赎回时，投资者获得的实际收益相当于达到年化收益率水平为：4,701.23/100,000.00×365/362=4.74%。</w:t>
      </w:r>
    </w:p>
    <w:p>
      <w:pPr>
        <w:keepNext w:val="0"/>
        <w:keepLines w:val="0"/>
        <w:widowControl w:val="0"/>
        <w:numPr>
          <w:ilvl w:val="0"/>
          <w:numId w:val="48"/>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扣除浮动管理费后，理财计划的单位净值大于1，故理财计划进行现金分红，分红金额为4058.56元，分红后产品的单位净值为1.0000。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48"/>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理财计划的单位净值大于1，故理财计划进行现金分红，分红金额为3,650.00元，分红后产品的单位净值为1.0000。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48"/>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47"/>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32"/>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交易规则</w:t>
      </w:r>
    </w:p>
    <w:p>
      <w:pPr>
        <w:numPr>
          <w:ilvl w:val="0"/>
          <w:numId w:val="49"/>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认购</w:t>
      </w:r>
    </w:p>
    <w:p>
      <w:pPr>
        <w:numPr>
          <w:ilvl w:val="0"/>
          <w:numId w:val="5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5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5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9"/>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成立</w:t>
      </w:r>
    </w:p>
    <w:p>
      <w:pPr>
        <w:numPr>
          <w:ilvl w:val="0"/>
          <w:numId w:val="5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51"/>
        </w:num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9"/>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申购及赎回</w:t>
      </w:r>
    </w:p>
    <w:p>
      <w:pPr>
        <w:numPr>
          <w:ilvl w:val="0"/>
          <w:numId w:val="5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交易确认及时间</w:t>
      </w:r>
    </w:p>
    <w:p>
      <w:pPr>
        <w:numPr>
          <w:ilvl w:val="0"/>
          <w:numId w:val="53"/>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5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5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5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5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巨额赎回处理</w:t>
      </w:r>
    </w:p>
    <w:p>
      <w:pPr>
        <w:numPr>
          <w:ilvl w:val="0"/>
          <w:numId w:val="5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5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color w:val="000000"/>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5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5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5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5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5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5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5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5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5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5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5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5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5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5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5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5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5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49"/>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color w:val="000000"/>
          <w:kern w:val="0"/>
          <w:sz w:val="24"/>
          <w:szCs w:val="24"/>
          <w:highlight w:val="none"/>
        </w:rPr>
      </w:pPr>
      <w:r>
        <w:rPr>
          <w:rFonts w:hint="eastAsia" w:ascii="宋体" w:hAnsi="宋体" w:eastAsia="宋体" w:cs="宋体"/>
          <w:color w:val="000000"/>
          <w:kern w:val="2"/>
          <w:sz w:val="24"/>
          <w:szCs w:val="24"/>
          <w:highlight w:val="none"/>
          <w:lang w:val="en-US" w:eastAsia="zh-CN" w:bidi="ar"/>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49"/>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bCs/>
          <w:color w:val="000000"/>
          <w:sz w:val="24"/>
          <w:highlight w:val="none"/>
        </w:rPr>
        <w:t>2〗个〖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58"/>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58"/>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58"/>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因不可抗力因素导致本理财计划必须提前终止的。</w:t>
      </w:r>
    </w:p>
    <w:p>
      <w:pPr>
        <w:numPr>
          <w:ilvl w:val="0"/>
          <w:numId w:val="58"/>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理财计划的投资策略已不适合当前的市场环境的。</w:t>
      </w:r>
    </w:p>
    <w:p>
      <w:pPr>
        <w:numPr>
          <w:ilvl w:val="0"/>
          <w:numId w:val="58"/>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lang w:eastAsia="zh-CN"/>
        </w:rPr>
        <w:t>融资人行使提前到期或还款权利的。</w:t>
      </w:r>
    </w:p>
    <w:p>
      <w:pPr>
        <w:numPr>
          <w:ilvl w:val="0"/>
          <w:numId w:val="58"/>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管理人认为应该提前终止的其他情形。</w:t>
      </w:r>
    </w:p>
    <w:p>
      <w:pPr>
        <w:numPr>
          <w:ilvl w:val="0"/>
          <w:numId w:val="49"/>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5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5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5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管理人与托管人、销售机构协商一致决定延期。</w:t>
      </w:r>
    </w:p>
    <w:p>
      <w:pPr>
        <w:numPr>
          <w:ilvl w:val="0"/>
          <w:numId w:val="5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color w:val="000000"/>
          <w:sz w:val="24"/>
          <w:highlight w:val="none"/>
        </w:rPr>
      </w:pPr>
    </w:p>
    <w:p>
      <w:pPr>
        <w:numPr>
          <w:ilvl w:val="0"/>
          <w:numId w:val="32"/>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信息披露</w:t>
      </w:r>
    </w:p>
    <w:p>
      <w:pPr>
        <w:numPr>
          <w:ilvl w:val="0"/>
          <w:numId w:val="60"/>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披露内容及时间</w:t>
      </w:r>
    </w:p>
    <w:p>
      <w:pPr>
        <w:numPr>
          <w:ilvl w:val="0"/>
          <w:numId w:val="6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认购信息披露</w:t>
      </w:r>
    </w:p>
    <w:p>
      <w:pPr>
        <w:numPr>
          <w:ilvl w:val="0"/>
          <w:numId w:val="6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62"/>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6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运作信息披露</w:t>
      </w:r>
    </w:p>
    <w:p>
      <w:pPr>
        <w:numPr>
          <w:ilvl w:val="0"/>
          <w:numId w:val="6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63"/>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63"/>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6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临时信息披露</w:t>
      </w:r>
    </w:p>
    <w:p>
      <w:pPr>
        <w:numPr>
          <w:ilvl w:val="0"/>
          <w:numId w:val="6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64"/>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60"/>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color w:val="000000"/>
          <w:sz w:val="24"/>
          <w:highlight w:val="none"/>
        </w:rPr>
      </w:pPr>
    </w:p>
    <w:p>
      <w:pPr>
        <w:numPr>
          <w:ilvl w:val="0"/>
          <w:numId w:val="32"/>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其他</w:t>
      </w:r>
    </w:p>
    <w:p>
      <w:pPr>
        <w:numPr>
          <w:ilvl w:val="0"/>
          <w:numId w:val="65"/>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65"/>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65"/>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65"/>
        </w:numPr>
        <w:spacing w:line="360" w:lineRule="auto"/>
        <w:ind w:firstLine="482" w:firstLineChars="200"/>
        <w:jc w:val="left"/>
        <w:outlineLvl w:val="9"/>
        <w:rPr>
          <w:rFonts w:hint="eastAsia" w:ascii="宋体" w:hAnsi="宋体" w:cs="宋体"/>
          <w:b/>
          <w:color w:val="000000"/>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pageBreakBefore/>
        <w:spacing w:line="360" w:lineRule="auto"/>
        <w:jc w:val="center"/>
        <w:outlineLvl w:val="9"/>
        <w:rPr>
          <w:rFonts w:hint="eastAsia" w:ascii="宋体" w:hAnsi="宋体" w:cs="宋体"/>
          <w:b/>
          <w:bCs/>
          <w:color w:val="000000"/>
          <w:sz w:val="44"/>
          <w:szCs w:val="44"/>
          <w:highlight w:val="none"/>
        </w:rPr>
      </w:pPr>
      <w:bookmarkStart w:id="0" w:name="_GoBack"/>
      <w:bookmarkEnd w:id="0"/>
      <w:r>
        <w:rPr>
          <w:rFonts w:hint="eastAsia" w:ascii="宋体" w:hAnsi="宋体" w:cs="宋体"/>
          <w:b/>
          <w:bCs/>
          <w:color w:val="000000"/>
          <w:sz w:val="44"/>
          <w:szCs w:val="44"/>
          <w:highlight w:val="none"/>
        </w:rPr>
        <w:t>杭银理财投资者权益须知</w:t>
      </w:r>
    </w:p>
    <w:p>
      <w:pPr>
        <w:jc w:val="center"/>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center"/>
        <w:rPr>
          <w:rFonts w:hint="eastAsia" w:ascii="宋体" w:hAnsi="宋体" w:cs="宋体"/>
          <w:b/>
          <w:bCs/>
          <w:color w:val="000000"/>
          <w:sz w:val="24"/>
          <w:highlight w:val="none"/>
          <w:u w:val="single"/>
        </w:rPr>
      </w:pPr>
      <w:r>
        <w:rPr>
          <w:rFonts w:hint="eastAsia" w:ascii="宋体" w:hAnsi="宋体" w:cs="宋体"/>
          <w:b/>
          <w:bCs/>
          <w:color w:val="000000"/>
          <w:sz w:val="24"/>
          <w:highlight w:val="none"/>
          <w:u w:val="single"/>
        </w:rPr>
        <w:t>理财非存款、产品有风险、投资须谨慎</w:t>
      </w:r>
    </w:p>
    <w:p>
      <w:p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尊敬的投资者：</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66"/>
        </w:numPr>
        <w:spacing w:line="360" w:lineRule="auto"/>
        <w:outlineLvl w:val="9"/>
        <w:rPr>
          <w:rFonts w:hint="eastAsia" w:ascii="宋体" w:hAnsi="宋体" w:cs="宋体"/>
          <w:b/>
          <w:color w:val="000000"/>
          <w:kern w:val="0"/>
          <w:sz w:val="24"/>
          <w:highlight w:val="none"/>
        </w:rPr>
      </w:pPr>
      <w:r>
        <w:rPr>
          <w:rFonts w:hint="eastAsia" w:ascii="宋体" w:hAnsi="宋体" w:cs="宋体"/>
          <w:b/>
          <w:color w:val="000000"/>
          <w:kern w:val="0"/>
          <w:sz w:val="24"/>
          <w:highlight w:val="none"/>
        </w:rPr>
        <w:t>理财计划办理流程</w:t>
      </w:r>
    </w:p>
    <w:p>
      <w:pPr>
        <w:numPr>
          <w:ilvl w:val="0"/>
          <w:numId w:val="6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6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首次在销售机构购买杭银理财理财计划的普通投资者须接受并完成销售机构对您的风险承受能力评估，并确认风险承受能力等级不低于本理财计划风险评级。如销售机构对于专业投资者的风险承受能力评估有要求的，则参照销售机构相关评估标准或代理销售协议书执行。</w:t>
      </w:r>
    </w:p>
    <w:p>
      <w:pPr>
        <w:numPr>
          <w:ilvl w:val="0"/>
          <w:numId w:val="6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投资者应仔细阅读本理财计划完整合同（包括但不限于</w:t>
      </w:r>
      <w:r>
        <w:rPr>
          <w:rFonts w:hint="eastAsia" w:ascii="宋体" w:hAnsi="宋体" w:cs="宋体"/>
          <w:color w:val="000000"/>
          <w:kern w:val="0"/>
          <w:sz w:val="24"/>
          <w:highlight w:val="none"/>
          <w:lang w:eastAsia="zh-CN"/>
        </w:rPr>
        <w:t>理财计划</w:t>
      </w:r>
      <w:r>
        <w:rPr>
          <w:rFonts w:hint="eastAsia" w:ascii="宋体" w:hAnsi="宋体" w:cs="宋体"/>
          <w:color w:val="000000"/>
          <w:kern w:val="0"/>
          <w:sz w:val="24"/>
          <w:highlight w:val="none"/>
        </w:rPr>
        <w:t>风险揭示书、理财计划产品说明书、投资者权益须知</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理财计划投资协议书</w:t>
      </w:r>
      <w:r>
        <w:rPr>
          <w:rFonts w:hint="eastAsia" w:ascii="宋体" w:hAnsi="宋体" w:cs="宋体"/>
          <w:color w:val="000000"/>
          <w:kern w:val="0"/>
          <w:sz w:val="24"/>
          <w:highlight w:val="none"/>
          <w:lang w:eastAsia="zh-CN"/>
        </w:rPr>
        <w:t>和理财计划（</w:t>
      </w:r>
      <w:r>
        <w:rPr>
          <w:rFonts w:hint="eastAsia" w:ascii="宋体" w:hAnsi="宋体" w:cs="宋体"/>
          <w:color w:val="000000"/>
          <w:kern w:val="0"/>
          <w:sz w:val="24"/>
          <w:highlight w:val="none"/>
          <w:lang w:val="en-US" w:eastAsia="zh-CN"/>
        </w:rPr>
        <w:t>代理销售</w:t>
      </w:r>
      <w:r>
        <w:rPr>
          <w:rFonts w:hint="eastAsia" w:ascii="宋体" w:hAnsi="宋体" w:cs="宋体"/>
          <w:color w:val="000000"/>
          <w:kern w:val="0"/>
          <w:sz w:val="24"/>
          <w:highlight w:val="none"/>
          <w:lang w:eastAsia="zh-CN"/>
        </w:rPr>
        <w:t>）销售协议书</w:t>
      </w:r>
      <w:r>
        <w:rPr>
          <w:rFonts w:hint="eastAsia" w:ascii="宋体" w:hAnsi="宋体" w:cs="宋体"/>
          <w:color w:val="000000"/>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6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6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如在银行营业场所购买杭银理财理财计划，销售机构需对每笔理财计划销售过程同步录音录像。</w:t>
      </w:r>
      <w:r>
        <w:rPr>
          <w:rFonts w:hint="eastAsia" w:ascii="宋体" w:hAnsi="宋体" w:cs="宋体"/>
          <w:color w:val="000000"/>
          <w:kern w:val="0"/>
          <w:sz w:val="24"/>
          <w:highlight w:val="none"/>
          <w:lang w:val="en-US" w:eastAsia="zh-CN"/>
        </w:rPr>
        <w:t>在没有销售人员推介的情况下，投资者通过自助终端等电子设备进行自主购买的情况除外。</w:t>
      </w:r>
    </w:p>
    <w:p>
      <w:pPr>
        <w:numPr>
          <w:ilvl w:val="0"/>
          <w:numId w:val="6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投资者确定交易金额，完成交易申请，并在确认份额后进行查询。</w:t>
      </w:r>
    </w:p>
    <w:p>
      <w:pPr>
        <w:numPr>
          <w:ilvl w:val="0"/>
          <w:numId w:val="68"/>
        </w:numPr>
        <w:spacing w:line="360" w:lineRule="auto"/>
        <w:outlineLvl w:val="9"/>
        <w:rPr>
          <w:rFonts w:hint="eastAsia" w:ascii="宋体" w:hAnsi="宋体" w:cs="宋体"/>
          <w:b/>
          <w:color w:val="000000"/>
          <w:kern w:val="0"/>
          <w:sz w:val="24"/>
          <w:highlight w:val="none"/>
        </w:rPr>
      </w:pPr>
      <w:r>
        <w:rPr>
          <w:rFonts w:hint="eastAsia" w:ascii="宋体" w:hAnsi="宋体" w:cs="宋体"/>
          <w:b/>
          <w:color w:val="000000"/>
          <w:kern w:val="0"/>
          <w:sz w:val="24"/>
          <w:highlight w:val="none"/>
        </w:rPr>
        <w:t>杭银理财产品风险评级</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专业投资者及谨慎型、稳健型、平衡型、进取型、激进型的普通投资者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专业投资者及激进型的普通投资者</w:t>
            </w:r>
          </w:p>
        </w:tc>
      </w:tr>
    </w:tbl>
    <w:p>
      <w:pPr>
        <w:pStyle w:val="20"/>
        <w:adjustRightInd/>
        <w:spacing w:line="360" w:lineRule="auto"/>
        <w:ind w:firstLine="480" w:firstLineChars="200"/>
        <w:rPr>
          <w:rFonts w:hint="default" w:ascii="宋体" w:hAnsi="宋体" w:eastAsia="宋体" w:cs="宋体"/>
          <w:b/>
          <w:color w:val="000000"/>
          <w:kern w:val="0"/>
          <w:sz w:val="24"/>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numPr>
          <w:ilvl w:val="0"/>
          <w:numId w:val="69"/>
        </w:numPr>
        <w:spacing w:line="360" w:lineRule="auto"/>
        <w:outlineLvl w:val="9"/>
        <w:rPr>
          <w:rFonts w:hint="eastAsia" w:ascii="宋体" w:hAnsi="宋体" w:cs="宋体"/>
          <w:b/>
          <w:color w:val="000000"/>
          <w:kern w:val="0"/>
          <w:sz w:val="24"/>
          <w:highlight w:val="none"/>
        </w:rPr>
      </w:pPr>
      <w:r>
        <w:rPr>
          <w:rFonts w:hint="eastAsia" w:ascii="宋体" w:hAnsi="宋体" w:cs="宋体"/>
          <w:b/>
          <w:color w:val="000000"/>
          <w:kern w:val="0"/>
          <w:sz w:val="24"/>
          <w:highlight w:val="none"/>
        </w:rPr>
        <w:t>投资者风险承受能力评估</w:t>
      </w:r>
    </w:p>
    <w:p>
      <w:pPr>
        <w:numPr>
          <w:ilvl w:val="0"/>
          <w:numId w:val="70"/>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本理财计划销售工作及投资者适当性评估由销售机构负责。普通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70"/>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普通投资者风险承受能力评估结果有效期为一年，如风险承受能力评估时效已超过一年，或影响风险承受能力的因素发生变化，请及时完成风险承受能力的重新评估。</w:t>
      </w:r>
    </w:p>
    <w:p>
      <w:pPr>
        <w:numPr>
          <w:ilvl w:val="0"/>
          <w:numId w:val="70"/>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普通投资者风险承受能力评估流程（详询销售机构工作人员）</w:t>
      </w:r>
    </w:p>
    <w:p>
      <w:pPr>
        <w:numPr>
          <w:ilvl w:val="0"/>
          <w:numId w:val="71"/>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普通投资者在销售机构进行风险承受能力评估；</w:t>
      </w:r>
    </w:p>
    <w:p>
      <w:pPr>
        <w:numPr>
          <w:ilvl w:val="0"/>
          <w:numId w:val="71"/>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填写销售机构普通投资者风险承受能力测试问卷；</w:t>
      </w:r>
    </w:p>
    <w:p>
      <w:pPr>
        <w:numPr>
          <w:ilvl w:val="0"/>
          <w:numId w:val="71"/>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生成相应的普通投资者风险承受能力评估结果；</w:t>
      </w:r>
    </w:p>
    <w:p>
      <w:pPr>
        <w:numPr>
          <w:ilvl w:val="0"/>
          <w:numId w:val="71"/>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投资者对评估结果进行确认。</w:t>
      </w:r>
    </w:p>
    <w:p>
      <w:pPr>
        <w:numPr>
          <w:ilvl w:val="0"/>
          <w:numId w:val="7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风险承受能力评估结果将作为评价普通投资者是否适合购买理财计划的重要因素，风险承受能力评级越高适合购买的理财计划风险评级越高，适合购买的理财计划类型越丰富。</w:t>
      </w:r>
    </w:p>
    <w:p>
      <w:pPr>
        <w:numPr>
          <w:ilvl w:val="0"/>
          <w:numId w:val="7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普通投资者的风险承受能力等级不低于本理财计划最终披露的风险评级。如本理财计划通过代理销售机构渠道销售的，理财产品评级应当以代理销售机构最终披露的评级结果为准。</w:t>
      </w:r>
    </w:p>
    <w:p>
      <w:pPr>
        <w:numPr>
          <w:ilvl w:val="0"/>
          <w:numId w:val="7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购买理财计划前可简化或无须进行风险评估能力测试。专业投资者不适用普通投资者的风险承受能力评估，请专业投资者根据自身财务状况、投资风格、资金需求等要素，并在阅读本权益须知、理财计划风险揭示书、理财计划产品说明书、理财计划投资协议书和理财计划销售协议书的基础上，充分认识投资本理财计划需要承担的风险。如销售机构对于专业投资者的风险承受能力评估有要求的，则参照销售机构相关评估标准或代理销售协议书执行。</w:t>
      </w:r>
    </w:p>
    <w:p>
      <w:pPr>
        <w:spacing w:line="360" w:lineRule="auto"/>
        <w:ind w:firstLine="482" w:firstLineChars="200"/>
        <w:outlineLvl w:val="9"/>
        <w:rPr>
          <w:rFonts w:hint="eastAsia" w:ascii="宋体" w:hAnsi="宋体" w:cs="宋体"/>
          <w:b/>
          <w:color w:val="000000"/>
          <w:kern w:val="0"/>
          <w:sz w:val="24"/>
          <w:highlight w:val="none"/>
        </w:rPr>
      </w:pPr>
      <w:r>
        <w:rPr>
          <w:rFonts w:hint="eastAsia" w:ascii="宋体" w:hAnsi="宋体" w:cs="宋体"/>
          <w:b/>
          <w:color w:val="000000"/>
          <w:kern w:val="0"/>
          <w:sz w:val="24"/>
          <w:highlight w:val="none"/>
        </w:rPr>
        <w:t>四、理财计划信息披露</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您知晓并同意通知送达，请您及时查询。</w:t>
      </w:r>
    </w:p>
    <w:p>
      <w:pPr>
        <w:spacing w:line="360" w:lineRule="auto"/>
        <w:ind w:firstLine="482" w:firstLineChars="200"/>
        <w:outlineLvl w:val="9"/>
        <w:rPr>
          <w:rFonts w:hint="eastAsia" w:ascii="宋体" w:hAnsi="宋体" w:cs="宋体"/>
          <w:b/>
          <w:color w:val="000000"/>
          <w:kern w:val="0"/>
          <w:sz w:val="24"/>
          <w:highlight w:val="none"/>
        </w:rPr>
      </w:pPr>
      <w:r>
        <w:rPr>
          <w:rFonts w:hint="eastAsia" w:ascii="宋体" w:hAnsi="宋体" w:cs="宋体"/>
          <w:b/>
          <w:color w:val="000000"/>
          <w:kern w:val="0"/>
          <w:sz w:val="24"/>
          <w:highlight w:val="none"/>
        </w:rPr>
        <w:t>五、投资者信息管理</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销售机构应当根据反洗钱、反恐怖融资及非居民金融账户涉税信息尽职调查等相关法律法规要求识别客户身份。投资者通过公司认可的销售机构购买本公司理财的，知晓并同意公司获取投资者相关理财业务资料及信息。</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9"/>
        <w:rPr>
          <w:rFonts w:hint="eastAsia" w:ascii="宋体" w:hAnsi="宋体" w:cs="宋体"/>
          <w:b/>
          <w:color w:val="000000"/>
          <w:kern w:val="0"/>
          <w:sz w:val="24"/>
          <w:highlight w:val="none"/>
        </w:rPr>
      </w:pPr>
      <w:r>
        <w:rPr>
          <w:rFonts w:hint="eastAsia" w:ascii="宋体" w:hAnsi="宋体" w:cs="宋体"/>
          <w:b/>
          <w:color w:val="000000"/>
          <w:kern w:val="0"/>
          <w:sz w:val="24"/>
          <w:highlight w:val="none"/>
        </w:rPr>
        <w:t>六、投诉与建议</w:t>
      </w:r>
    </w:p>
    <w:p>
      <w:pPr>
        <w:numPr>
          <w:ilvl w:val="0"/>
          <w:numId w:val="73"/>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投资者如认为理财</w:t>
      </w:r>
      <w:r>
        <w:rPr>
          <w:rFonts w:hint="eastAsia" w:ascii="宋体" w:hAnsi="宋体" w:cs="宋体"/>
          <w:color w:val="000000"/>
          <w:kern w:val="0"/>
          <w:sz w:val="24"/>
          <w:highlight w:val="none"/>
          <w:lang w:val="en-US" w:eastAsia="zh-CN"/>
        </w:rPr>
        <w:t>计划</w:t>
      </w:r>
      <w:r>
        <w:rPr>
          <w:rFonts w:hint="eastAsia" w:ascii="宋体" w:hAnsi="宋体" w:cs="宋体"/>
          <w:color w:val="000000"/>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color w:val="000000"/>
          <w:kern w:val="0"/>
          <w:sz w:val="24"/>
          <w:highlight w:val="none"/>
          <w:lang w:val="en-US" w:eastAsia="zh-CN"/>
        </w:rPr>
        <w:t>或管理人</w:t>
      </w:r>
      <w:r>
        <w:rPr>
          <w:rFonts w:hint="eastAsia" w:ascii="宋体" w:hAnsi="宋体" w:cs="宋体"/>
          <w:color w:val="000000"/>
          <w:kern w:val="0"/>
          <w:sz w:val="24"/>
          <w:highlight w:val="none"/>
        </w:rPr>
        <w:t>热线或客服电话进行反馈</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将由专人接听、记录您的意见建议，并由双方协商共同解决。</w:t>
      </w:r>
    </w:p>
    <w:p>
      <w:pPr>
        <w:numPr>
          <w:ilvl w:val="0"/>
          <w:numId w:val="73"/>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联络方式</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杭银理财联络方式：</w:t>
      </w:r>
    </w:p>
    <w:p>
      <w:pPr>
        <w:numPr>
          <w:ilvl w:val="0"/>
          <w:numId w:val="74"/>
        </w:numPr>
        <w:spacing w:line="360" w:lineRule="auto"/>
        <w:ind w:left="0" w:leftChars="0" w:firstLine="400" w:firstLineChars="0"/>
        <w:rPr>
          <w:rFonts w:hint="eastAsia" w:ascii="宋体" w:hAnsi="宋体" w:cs="宋体"/>
          <w:color w:val="000000"/>
          <w:kern w:val="0"/>
          <w:sz w:val="24"/>
          <w:highlight w:val="none"/>
        </w:rPr>
      </w:pPr>
      <w:r>
        <w:rPr>
          <w:rFonts w:hint="eastAsia" w:ascii="宋体" w:hAnsi="宋体" w:cs="宋体"/>
          <w:color w:val="000000"/>
          <w:kern w:val="0"/>
          <w:sz w:val="24"/>
          <w:highlight w:val="none"/>
          <w:lang w:eastAsia="zh-CN"/>
        </w:rPr>
        <w:t>杭银理财联络方式：</w:t>
      </w:r>
    </w:p>
    <w:p>
      <w:pPr>
        <w:numPr>
          <w:ilvl w:val="0"/>
          <w:numId w:val="0"/>
        </w:numPr>
        <w:spacing w:line="360" w:lineRule="auto"/>
        <w:ind w:firstLine="480" w:firstLineChars="200"/>
        <w:rPr>
          <w:rFonts w:hint="eastAsia" w:ascii="宋体" w:hAnsi="宋体" w:cs="宋体"/>
          <w:color w:val="000000"/>
          <w:kern w:val="0"/>
          <w:sz w:val="24"/>
          <w:highlight w:val="none"/>
          <w:u w:val="single"/>
          <w:lang w:val="en-US" w:eastAsia="zh-CN"/>
        </w:rPr>
      </w:pPr>
      <w:r>
        <w:rPr>
          <w:rFonts w:hint="eastAsia" w:ascii="宋体" w:hAnsi="宋体" w:cs="宋体"/>
          <w:color w:val="000000"/>
          <w:kern w:val="0"/>
          <w:sz w:val="24"/>
          <w:highlight w:val="none"/>
          <w:lang w:eastAsia="zh-CN"/>
        </w:rPr>
        <w:t>官方网站：</w:t>
      </w:r>
      <w:r>
        <w:rPr>
          <w:rFonts w:hint="eastAsia" w:ascii="宋体" w:hAnsi="宋体" w:cs="宋体"/>
          <w:bCs/>
          <w:color w:val="000000"/>
          <w:kern w:val="2"/>
          <w:highlight w:val="none"/>
          <w:u w:val="none"/>
          <w:lang w:val="en-US" w:eastAsia="zh-CN"/>
        </w:rPr>
        <w:t>https://</w:t>
      </w:r>
      <w:r>
        <w:rPr>
          <w:rStyle w:val="14"/>
          <w:rFonts w:hint="eastAsia" w:ascii="宋体" w:hAnsi="宋体" w:cs="宋体"/>
          <w:color w:val="000000"/>
          <w:kern w:val="0"/>
          <w:sz w:val="24"/>
          <w:szCs w:val="22"/>
          <w:highlight w:val="none"/>
          <w:u w:val="none"/>
          <w:lang w:val="en-US" w:eastAsia="zh-CN"/>
        </w:rPr>
        <w:t>www.hzbankwealth.com.cn</w:t>
      </w:r>
    </w:p>
    <w:p>
      <w:pPr>
        <w:numPr>
          <w:ilvl w:val="0"/>
          <w:numId w:val="0"/>
        </w:numPr>
        <w:spacing w:line="360" w:lineRule="auto"/>
        <w:ind w:firstLine="480" w:firstLineChars="200"/>
        <w:rPr>
          <w:rFonts w:hint="default" w:ascii="宋体" w:hAnsi="宋体" w:cs="宋体"/>
          <w:color w:val="000000"/>
          <w:kern w:val="0"/>
          <w:sz w:val="24"/>
          <w:highlight w:val="none"/>
          <w:u w:val="none"/>
          <w:lang w:val="en-US" w:eastAsia="zh-CN"/>
        </w:rPr>
      </w:pPr>
      <w:r>
        <w:rPr>
          <w:rFonts w:hint="eastAsia" w:ascii="宋体" w:hAnsi="宋体" w:cs="宋体"/>
          <w:color w:val="000000"/>
          <w:kern w:val="0"/>
          <w:sz w:val="24"/>
          <w:highlight w:val="none"/>
          <w:u w:val="none"/>
          <w:lang w:val="en-US" w:eastAsia="zh-CN"/>
        </w:rPr>
        <w:t>客户服务热线：400-8950-999</w:t>
      </w:r>
    </w:p>
    <w:p>
      <w:pPr>
        <w:numPr>
          <w:ilvl w:val="0"/>
          <w:numId w:val="0"/>
        </w:num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u w:val="none"/>
          <w:lang w:val="en-US" w:eastAsia="zh-CN"/>
        </w:rPr>
        <w:t>公司地址：</w:t>
      </w:r>
      <w:r>
        <w:rPr>
          <w:rFonts w:hint="eastAsia" w:ascii="宋体" w:hAnsi="宋体" w:cs="宋体"/>
          <w:color w:val="000000"/>
          <w:kern w:val="0"/>
          <w:sz w:val="24"/>
          <w:highlight w:val="none"/>
        </w:rPr>
        <w:t>杭州市拱墅区庆春路38号金龙财富中心6楼</w:t>
      </w:r>
    </w:p>
    <w:p>
      <w:pPr>
        <w:numPr>
          <w:ilvl w:val="0"/>
          <w:numId w:val="0"/>
        </w:numPr>
        <w:spacing w:line="360" w:lineRule="auto"/>
        <w:ind w:firstLine="480" w:firstLineChars="200"/>
        <w:rPr>
          <w:rFonts w:hint="eastAsia"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eastAsia="zh-CN"/>
        </w:rPr>
        <w:t>若</w:t>
      </w:r>
      <w:r>
        <w:rPr>
          <w:rFonts w:hint="eastAsia" w:ascii="宋体" w:hAnsi="宋体" w:cs="宋体"/>
          <w:color w:val="000000"/>
          <w:kern w:val="0"/>
          <w:sz w:val="24"/>
          <w:highlight w:val="none"/>
        </w:rPr>
        <w:t>上述联系方式变更，杭银理财将提前通过</w:t>
      </w:r>
      <w:r>
        <w:rPr>
          <w:rFonts w:hint="eastAsia" w:ascii="宋体" w:hAnsi="宋体" w:cs="宋体"/>
          <w:color w:val="000000"/>
          <w:kern w:val="0"/>
          <w:sz w:val="24"/>
          <w:highlight w:val="none"/>
          <w:lang w:eastAsia="zh-CN"/>
        </w:rPr>
        <w:t>官方网站</w:t>
      </w:r>
      <w:r>
        <w:rPr>
          <w:rFonts w:hint="eastAsia" w:ascii="宋体" w:hAnsi="宋体" w:cs="宋体"/>
          <w:color w:val="000000"/>
          <w:kern w:val="0"/>
          <w:sz w:val="24"/>
          <w:highlight w:val="none"/>
        </w:rPr>
        <w:t>及时告知投资者。</w:t>
      </w:r>
    </w:p>
    <w:p>
      <w:pPr>
        <w:numPr>
          <w:ilvl w:val="0"/>
          <w:numId w:val="74"/>
        </w:numPr>
        <w:spacing w:line="360" w:lineRule="auto"/>
        <w:ind w:left="0" w:leftChars="0" w:firstLine="400" w:firstLineChars="0"/>
        <w:rPr>
          <w:rFonts w:hint="eastAsia" w:ascii="宋体" w:hAnsi="宋体" w:cs="宋体"/>
          <w:color w:val="000000"/>
          <w:kern w:val="0"/>
          <w:sz w:val="24"/>
          <w:highlight w:val="none"/>
        </w:rPr>
      </w:pPr>
      <w:r>
        <w:rPr>
          <w:rFonts w:hint="eastAsia" w:ascii="宋体" w:hAnsi="宋体" w:cs="宋体"/>
          <w:color w:val="000000"/>
          <w:kern w:val="0"/>
          <w:sz w:val="24"/>
          <w:highlight w:val="none"/>
          <w:lang w:eastAsia="zh-CN"/>
        </w:rPr>
        <w:t>杭州银行</w:t>
      </w:r>
      <w:r>
        <w:rPr>
          <w:rFonts w:hint="eastAsia" w:ascii="宋体" w:hAnsi="宋体" w:cs="宋体"/>
          <w:color w:val="000000"/>
          <w:kern w:val="0"/>
          <w:sz w:val="24"/>
          <w:highlight w:val="none"/>
        </w:rPr>
        <w:t>（作为销售机构）</w:t>
      </w:r>
      <w:r>
        <w:rPr>
          <w:rFonts w:hint="eastAsia" w:ascii="宋体" w:hAnsi="宋体" w:cs="宋体"/>
          <w:color w:val="000000"/>
          <w:kern w:val="0"/>
          <w:sz w:val="24"/>
          <w:highlight w:val="none"/>
          <w:lang w:eastAsia="zh-CN"/>
        </w:rPr>
        <w:t>联络方式：</w:t>
      </w:r>
    </w:p>
    <w:p>
      <w:pPr>
        <w:spacing w:line="360" w:lineRule="auto"/>
        <w:ind w:firstLine="480" w:firstLineChars="200"/>
        <w:rPr>
          <w:rFonts w:hint="eastAsia" w:ascii="宋体" w:hAnsi="宋体" w:cs="宋体"/>
          <w:color w:val="000000"/>
          <w:kern w:val="0"/>
          <w:sz w:val="24"/>
          <w:highlight w:val="none"/>
          <w:u w:val="single"/>
          <w:lang w:val="en-US" w:eastAsia="zh-CN"/>
        </w:rPr>
      </w:pPr>
      <w:r>
        <w:rPr>
          <w:rFonts w:hint="eastAsia" w:ascii="宋体" w:hAnsi="宋体" w:cs="宋体"/>
          <w:color w:val="000000"/>
          <w:kern w:val="0"/>
          <w:sz w:val="24"/>
          <w:highlight w:val="none"/>
          <w:lang w:eastAsia="zh-CN"/>
        </w:rPr>
        <w:t>官方网站</w:t>
      </w:r>
      <w:r>
        <w:rPr>
          <w:rFonts w:hint="eastAsia" w:ascii="宋体" w:hAnsi="宋体" w:cs="宋体"/>
          <w:color w:val="000000"/>
          <w:kern w:val="0"/>
          <w:sz w:val="24"/>
          <w:highlight w:val="none"/>
          <w:lang w:val="en-US" w:eastAsia="zh-CN"/>
        </w:rPr>
        <w:t xml:space="preserve">: </w:t>
      </w:r>
      <w:r>
        <w:fldChar w:fldCharType="begin"/>
      </w:r>
      <w:r>
        <w:instrText xml:space="preserve"> HYPERLINK "http://www.hzbankwealth.cn" </w:instrText>
      </w:r>
      <w:r>
        <w:fldChar w:fldCharType="separate"/>
      </w:r>
      <w:r>
        <w:rPr>
          <w:rStyle w:val="14"/>
          <w:rFonts w:hint="eastAsia" w:ascii="宋体" w:hAnsi="宋体" w:cs="宋体"/>
          <w:color w:val="000000"/>
          <w:kern w:val="0"/>
          <w:sz w:val="24"/>
          <w:highlight w:val="none"/>
          <w:u w:val="none"/>
          <w:lang w:val="en-US" w:eastAsia="zh-CN"/>
        </w:rPr>
        <w:t>www.hzbank.com.cn</w:t>
      </w:r>
      <w:r>
        <w:rPr>
          <w:rStyle w:val="14"/>
          <w:rFonts w:hint="eastAsia" w:ascii="宋体" w:hAnsi="宋体" w:cs="宋体"/>
          <w:color w:val="000000"/>
          <w:kern w:val="0"/>
          <w:sz w:val="24"/>
          <w:highlight w:val="none"/>
          <w:u w:val="none"/>
          <w:lang w:val="en-US" w:eastAsia="zh-CN"/>
        </w:rPr>
        <w:fldChar w:fldCharType="end"/>
      </w:r>
    </w:p>
    <w:p>
      <w:pPr>
        <w:spacing w:line="360" w:lineRule="auto"/>
        <w:ind w:firstLine="480" w:firstLineChars="200"/>
        <w:rPr>
          <w:rFonts w:hint="default" w:ascii="宋体" w:hAnsi="宋体" w:eastAsia="宋体" w:cs="宋体"/>
          <w:color w:val="000000"/>
          <w:kern w:val="0"/>
          <w:sz w:val="24"/>
          <w:highlight w:val="none"/>
          <w:u w:val="none"/>
          <w:lang w:val="en-US" w:eastAsia="zh-CN"/>
        </w:rPr>
      </w:pPr>
      <w:r>
        <w:rPr>
          <w:rFonts w:hint="eastAsia" w:ascii="宋体" w:hAnsi="宋体" w:cs="宋体"/>
          <w:color w:val="000000"/>
          <w:kern w:val="0"/>
          <w:sz w:val="24"/>
          <w:highlight w:val="none"/>
          <w:u w:val="none"/>
          <w:lang w:val="en-US" w:eastAsia="zh-CN"/>
        </w:rPr>
        <w:t>客户服务热线：95398、</w:t>
      </w:r>
      <w:r>
        <w:rPr>
          <w:rFonts w:hint="eastAsia" w:ascii="宋体" w:hAnsi="宋体" w:cs="宋体"/>
          <w:color w:val="000000"/>
          <w:kern w:val="0"/>
          <w:sz w:val="24"/>
          <w:highlight w:val="none"/>
        </w:rPr>
        <w:t>4008888508</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color w:val="000000"/>
          <w:kern w:val="0"/>
          <w:sz w:val="24"/>
          <w:highlight w:val="none"/>
          <w:lang w:eastAsia="zh-CN"/>
        </w:rPr>
        <w:t>在</w:t>
      </w:r>
      <w:r>
        <w:rPr>
          <w:rFonts w:hint="eastAsia" w:ascii="宋体" w:hAnsi="宋体" w:cs="宋体"/>
          <w:color w:val="000000"/>
          <w:kern w:val="0"/>
          <w:sz w:val="24"/>
          <w:highlight w:val="none"/>
        </w:rPr>
        <w:t>其他销售机构购买理财计划的，请联系其他销售机构，联系方式以其披露为准。</w:t>
      </w:r>
      <w:r>
        <w:rPr>
          <w:rFonts w:ascii="宋体" w:hAnsi="宋体" w:cs="宋体"/>
          <w:bCs/>
          <w:color w:val="000000"/>
          <w:sz w:val="24"/>
          <w:highlight w:val="none"/>
        </w:rPr>
        <w:br w:type="page"/>
      </w:r>
    </w:p>
    <w:p>
      <w:pPr>
        <w:jc w:val="center"/>
        <w:outlineLvl w:val="9"/>
        <w:rPr>
          <w:rFonts w:hint="eastAsia"/>
          <w:b/>
          <w:color w:val="000000"/>
          <w:sz w:val="44"/>
          <w:szCs w:val="44"/>
          <w:highlight w:val="none"/>
        </w:rPr>
      </w:pPr>
      <w:r>
        <w:rPr>
          <w:rFonts w:hint="eastAsia"/>
          <w:b/>
          <w:color w:val="000000"/>
          <w:sz w:val="44"/>
          <w:szCs w:val="44"/>
          <w:highlight w:val="none"/>
        </w:rPr>
        <w:t>杭银理财理财计划投资协议书</w:t>
      </w:r>
    </w:p>
    <w:p>
      <w:pPr>
        <w:jc w:val="center"/>
        <w:rPr>
          <w:rFonts w:hint="eastAsia"/>
          <w:b/>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center"/>
        <w:rPr>
          <w:rFonts w:hint="eastAsia"/>
          <w:b/>
          <w:color w:val="000000"/>
          <w:sz w:val="32"/>
          <w:szCs w:val="32"/>
          <w:highlight w:val="none"/>
        </w:rPr>
      </w:pPr>
      <w:r>
        <w:rPr>
          <w:rFonts w:hint="eastAsia" w:ascii="宋体" w:hAnsi="宋体" w:cs="宋体"/>
          <w:b/>
          <w:bCs/>
          <w:color w:val="000000"/>
          <w:sz w:val="24"/>
          <w:highlight w:val="none"/>
          <w:u w:val="single"/>
        </w:rPr>
        <w:t>理财非存款、产品有风险、投资须谨慎</w:t>
      </w:r>
    </w:p>
    <w:p>
      <w:pPr>
        <w:spacing w:line="360" w:lineRule="auto"/>
        <w:ind w:firstLine="482" w:firstLineChars="200"/>
        <w:rPr>
          <w:rFonts w:hint="eastAsia"/>
          <w:b/>
          <w:bCs/>
          <w:color w:val="000000"/>
          <w:sz w:val="24"/>
          <w:highlight w:val="none"/>
        </w:rPr>
      </w:pPr>
      <w:r>
        <w:rPr>
          <w:rFonts w:hint="eastAsia"/>
          <w:b/>
          <w:bCs/>
          <w:color w:val="000000"/>
          <w:sz w:val="24"/>
          <w:highlight w:val="none"/>
        </w:rPr>
        <w:t>特别提示：杭银理财理财计划投资协议书与</w:t>
      </w:r>
      <w:r>
        <w:rPr>
          <w:rFonts w:hint="eastAsia"/>
          <w:b/>
          <w:bCs/>
          <w:color w:val="000000"/>
          <w:sz w:val="24"/>
          <w:highlight w:val="none"/>
          <w:lang w:eastAsia="zh-CN"/>
        </w:rPr>
        <w:t>理财计划风险揭示书、理财计划产品说明书、</w:t>
      </w:r>
      <w:r>
        <w:rPr>
          <w:rFonts w:hint="eastAsia"/>
          <w:b/>
          <w:bCs/>
          <w:color w:val="000000"/>
          <w:sz w:val="24"/>
          <w:highlight w:val="none"/>
        </w:rPr>
        <w:t>投资者权益须知</w:t>
      </w:r>
      <w:r>
        <w:rPr>
          <w:rFonts w:hint="eastAsia"/>
          <w:b/>
          <w:bCs/>
          <w:color w:val="000000"/>
          <w:sz w:val="24"/>
          <w:highlight w:val="none"/>
          <w:lang w:eastAsia="zh-CN"/>
        </w:rPr>
        <w:t>及理财计划销售协议书</w:t>
      </w:r>
      <w:r>
        <w:rPr>
          <w:rFonts w:hint="eastAsia"/>
          <w:b/>
          <w:bCs/>
          <w:color w:val="000000"/>
          <w:sz w:val="24"/>
          <w:highlight w:val="none"/>
        </w:rPr>
        <w:t>共同构成完整且不可分割的理财计划合同。杭银理财有限责任公司（以下简称“杭银理财”）建议投资者在购买理财计划前认真阅读理财计划合同，投资者签署协议书（含电子渠道签署）即知晓并同意已详细阅读理财计划合同并知悉相关风险，自愿投资购买理财计划、遵守合同约定并承担相应风险。</w:t>
      </w:r>
    </w:p>
    <w:p>
      <w:pPr>
        <w:spacing w:line="360" w:lineRule="auto"/>
        <w:ind w:firstLine="480" w:firstLineChars="200"/>
        <w:rPr>
          <w:rFonts w:hint="eastAsia"/>
          <w:color w:val="000000"/>
          <w:sz w:val="24"/>
          <w:highlight w:val="none"/>
        </w:rPr>
      </w:pPr>
      <w:r>
        <w:rPr>
          <w:rFonts w:hint="eastAsia"/>
          <w:color w:val="000000"/>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color w:val="000000"/>
          <w:sz w:val="24"/>
          <w:highlight w:val="none"/>
        </w:rPr>
      </w:pPr>
    </w:p>
    <w:p>
      <w:pPr>
        <w:numPr>
          <w:ilvl w:val="0"/>
          <w:numId w:val="75"/>
        </w:numPr>
        <w:spacing w:line="360" w:lineRule="auto"/>
        <w:ind w:firstLine="482" w:firstLineChars="200"/>
        <w:outlineLvl w:val="9"/>
        <w:rPr>
          <w:rFonts w:hint="eastAsia" w:ascii="宋体" w:hAnsi="宋体"/>
          <w:b/>
          <w:bCs/>
          <w:color w:val="000000"/>
          <w:sz w:val="24"/>
          <w:highlight w:val="none"/>
        </w:rPr>
      </w:pPr>
      <w:r>
        <w:rPr>
          <w:rFonts w:hint="eastAsia"/>
          <w:b/>
          <w:bCs/>
          <w:color w:val="000000"/>
          <w:sz w:val="24"/>
          <w:highlight w:val="none"/>
        </w:rPr>
        <w:t>名词释义</w:t>
      </w:r>
    </w:p>
    <w:p>
      <w:pPr>
        <w:spacing w:line="360" w:lineRule="auto"/>
        <w:ind w:firstLine="480" w:firstLineChars="200"/>
        <w:rPr>
          <w:rFonts w:hint="eastAsia"/>
          <w:bCs/>
          <w:color w:val="000000"/>
          <w:sz w:val="24"/>
          <w:highlight w:val="none"/>
        </w:rPr>
      </w:pPr>
      <w:r>
        <w:rPr>
          <w:rFonts w:hint="eastAsia"/>
          <w:bCs/>
          <w:color w:val="000000"/>
          <w:sz w:val="24"/>
          <w:highlight w:val="none"/>
        </w:rPr>
        <w:t>详见理财计划说明书“释义”部分。</w:t>
      </w:r>
    </w:p>
    <w:p>
      <w:pPr>
        <w:spacing w:line="360" w:lineRule="auto"/>
        <w:ind w:firstLine="480" w:firstLineChars="200"/>
        <w:rPr>
          <w:rFonts w:hint="eastAsia"/>
          <w:bCs/>
          <w:color w:val="000000"/>
          <w:sz w:val="24"/>
          <w:highlight w:val="none"/>
        </w:rPr>
      </w:pPr>
    </w:p>
    <w:p>
      <w:pPr>
        <w:numPr>
          <w:ilvl w:val="0"/>
          <w:numId w:val="75"/>
        </w:numPr>
        <w:spacing w:line="360" w:lineRule="auto"/>
        <w:ind w:firstLine="482" w:firstLineChars="200"/>
        <w:outlineLvl w:val="9"/>
        <w:rPr>
          <w:rFonts w:hint="eastAsia"/>
          <w:b/>
          <w:color w:val="000000"/>
          <w:sz w:val="24"/>
          <w:highlight w:val="none"/>
        </w:rPr>
      </w:pPr>
      <w:r>
        <w:rPr>
          <w:rFonts w:hint="eastAsia"/>
          <w:b/>
          <w:color w:val="000000"/>
          <w:sz w:val="24"/>
          <w:highlight w:val="none"/>
        </w:rPr>
        <w:t>投资者权利与义务</w:t>
      </w:r>
    </w:p>
    <w:p>
      <w:pPr>
        <w:widowControl/>
        <w:numPr>
          <w:ilvl w:val="0"/>
          <w:numId w:val="76"/>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76"/>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投资者保证自身完全了解理财投资的性质，投资所涉及的风险以及自身风险承受能力，在慎重考虑后独立作出交易决定。</w:t>
      </w:r>
    </w:p>
    <w:p>
      <w:pPr>
        <w:widowControl/>
        <w:numPr>
          <w:ilvl w:val="0"/>
          <w:numId w:val="76"/>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投资者保证其有权利签署本协议和履行本协议所述的义务，并已为此采取一切所需的行为。</w:t>
      </w:r>
    </w:p>
    <w:p>
      <w:pPr>
        <w:widowControl/>
        <w:numPr>
          <w:ilvl w:val="0"/>
          <w:numId w:val="76"/>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76"/>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76"/>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76"/>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本协议终止前，投资者不得将授权指定账户销户。若发生因投资者注销授权指定账户造成理财计划无法正常兑付的，管理人不承担任何责任。</w:t>
      </w:r>
    </w:p>
    <w:p>
      <w:pPr>
        <w:widowControl/>
        <w:numPr>
          <w:ilvl w:val="0"/>
          <w:numId w:val="76"/>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76"/>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投资者进行投资时，应严格遵守反洗钱相关法规的规定，切实履行反洗钱及反恐怖融资义务。 </w:t>
      </w:r>
    </w:p>
    <w:p>
      <w:pPr>
        <w:spacing w:line="360" w:lineRule="auto"/>
        <w:ind w:left="482"/>
        <w:rPr>
          <w:b/>
          <w:color w:val="000000"/>
          <w:sz w:val="24"/>
          <w:highlight w:val="none"/>
        </w:rPr>
      </w:pPr>
    </w:p>
    <w:p>
      <w:pPr>
        <w:numPr>
          <w:ilvl w:val="0"/>
          <w:numId w:val="75"/>
        </w:numPr>
        <w:spacing w:line="360" w:lineRule="auto"/>
        <w:ind w:firstLine="482" w:firstLineChars="200"/>
        <w:outlineLvl w:val="9"/>
        <w:rPr>
          <w:rFonts w:hint="eastAsia"/>
          <w:b/>
          <w:color w:val="000000"/>
          <w:sz w:val="24"/>
          <w:highlight w:val="none"/>
        </w:rPr>
      </w:pPr>
      <w:r>
        <w:rPr>
          <w:rFonts w:hint="eastAsia"/>
          <w:b/>
          <w:color w:val="000000"/>
          <w:sz w:val="24"/>
          <w:highlight w:val="none"/>
        </w:rPr>
        <w:t>管理人权利与义务</w:t>
      </w:r>
    </w:p>
    <w:p>
      <w:pPr>
        <w:widowControl/>
        <w:numPr>
          <w:ilvl w:val="0"/>
          <w:numId w:val="7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管理人应当诚实守信、勤勉尽责地履行受人之托、代人理财职责。 </w:t>
      </w:r>
    </w:p>
    <w:p>
      <w:pPr>
        <w:widowControl/>
        <w:numPr>
          <w:ilvl w:val="0"/>
          <w:numId w:val="7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管理人应当按照理财计划销售文件的约定收取管理费用、确定收益分配方案、向投资者分配收益。 </w:t>
      </w:r>
    </w:p>
    <w:p>
      <w:pPr>
        <w:widowControl/>
        <w:numPr>
          <w:ilvl w:val="0"/>
          <w:numId w:val="7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管理人应当按照理财计划销售文件的约定履行风险揭示及信息披露义务。 </w:t>
      </w:r>
    </w:p>
    <w:p>
      <w:pPr>
        <w:widowControl/>
        <w:numPr>
          <w:ilvl w:val="0"/>
          <w:numId w:val="7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管理人应当确保理财业务与其他业务相分离，理财计划之间相分离，理财业务操作与其他业务操作相分离。 </w:t>
      </w:r>
    </w:p>
    <w:p>
      <w:pPr>
        <w:widowControl/>
        <w:numPr>
          <w:ilvl w:val="0"/>
          <w:numId w:val="77"/>
        </w:numPr>
        <w:spacing w:line="360" w:lineRule="auto"/>
        <w:contextualSpacing/>
        <w:outlineLvl w:val="9"/>
        <w:rPr>
          <w:rFonts w:ascii="宋体" w:hAnsi="宋体"/>
          <w:color w:val="000000"/>
          <w:sz w:val="24"/>
          <w:highlight w:val="none"/>
        </w:rPr>
      </w:pPr>
      <w:r>
        <w:rPr>
          <w:rFonts w:ascii="宋体" w:hAnsi="宋体"/>
          <w:color w:val="000000"/>
          <w:sz w:val="24"/>
          <w:highlight w:val="none"/>
        </w:rPr>
        <w:t>管理人不得将理财</w:t>
      </w:r>
      <w:r>
        <w:rPr>
          <w:rFonts w:hint="eastAsia" w:ascii="宋体" w:hAnsi="宋体"/>
          <w:color w:val="000000"/>
          <w:sz w:val="24"/>
          <w:highlight w:val="none"/>
        </w:rPr>
        <w:t>计划</w:t>
      </w:r>
      <w:r>
        <w:rPr>
          <w:rFonts w:ascii="宋体" w:hAnsi="宋体"/>
          <w:color w:val="000000"/>
          <w:sz w:val="24"/>
          <w:highlight w:val="none"/>
        </w:rPr>
        <w:t>财产归入其自有资产</w:t>
      </w:r>
      <w:r>
        <w:rPr>
          <w:rFonts w:hint="eastAsia" w:ascii="宋体" w:hAnsi="宋体"/>
          <w:color w:val="000000"/>
          <w:sz w:val="24"/>
          <w:highlight w:val="none"/>
        </w:rPr>
        <w:t>，</w:t>
      </w:r>
      <w:r>
        <w:rPr>
          <w:rFonts w:ascii="宋体" w:hAnsi="宋体"/>
          <w:color w:val="000000"/>
          <w:sz w:val="24"/>
          <w:highlight w:val="none"/>
        </w:rPr>
        <w:t>因依法解散</w:t>
      </w:r>
      <w:r>
        <w:rPr>
          <w:rFonts w:hint="eastAsia" w:ascii="宋体" w:hAnsi="宋体"/>
          <w:color w:val="000000"/>
          <w:sz w:val="24"/>
          <w:highlight w:val="none"/>
        </w:rPr>
        <w:t>、</w:t>
      </w:r>
      <w:r>
        <w:rPr>
          <w:rFonts w:ascii="宋体" w:hAnsi="宋体"/>
          <w:color w:val="000000"/>
          <w:sz w:val="24"/>
          <w:highlight w:val="none"/>
        </w:rPr>
        <w:t>被依法撤销或者被依法宣告破产等原因进行清算的</w:t>
      </w:r>
      <w:r>
        <w:rPr>
          <w:rFonts w:hint="eastAsia" w:ascii="宋体" w:hAnsi="宋体"/>
          <w:color w:val="000000"/>
          <w:sz w:val="24"/>
          <w:highlight w:val="none"/>
        </w:rPr>
        <w:t>，</w:t>
      </w:r>
      <w:r>
        <w:rPr>
          <w:rFonts w:ascii="宋体" w:hAnsi="宋体"/>
          <w:color w:val="000000"/>
          <w:sz w:val="24"/>
          <w:highlight w:val="none"/>
        </w:rPr>
        <w:t>理财</w:t>
      </w:r>
      <w:r>
        <w:rPr>
          <w:rFonts w:hint="eastAsia" w:ascii="宋体" w:hAnsi="宋体"/>
          <w:color w:val="000000"/>
          <w:sz w:val="24"/>
          <w:highlight w:val="none"/>
        </w:rPr>
        <w:t>计划</w:t>
      </w:r>
      <w:r>
        <w:rPr>
          <w:rFonts w:ascii="宋体" w:hAnsi="宋体"/>
          <w:color w:val="000000"/>
          <w:sz w:val="24"/>
          <w:highlight w:val="none"/>
        </w:rPr>
        <w:t>财产不属于其清算财产</w:t>
      </w:r>
      <w:r>
        <w:rPr>
          <w:rFonts w:hint="eastAsia" w:ascii="宋体" w:hAnsi="宋体"/>
          <w:color w:val="000000"/>
          <w:sz w:val="24"/>
          <w:highlight w:val="none"/>
        </w:rPr>
        <w:t>。</w:t>
      </w:r>
    </w:p>
    <w:p>
      <w:pPr>
        <w:widowControl/>
        <w:numPr>
          <w:ilvl w:val="0"/>
          <w:numId w:val="7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7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7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管理人应就理财计划销售过程中获知的投资者信息、风险承受能力评估结果、适当性匹配情况等承担保密义务。</w:t>
      </w:r>
      <w:r>
        <w:rPr>
          <w:rFonts w:hint="eastAsia" w:ascii="宋体" w:hAnsi="宋体" w:cs="宋体"/>
          <w:bCs/>
          <w:color w:val="000000"/>
          <w:sz w:val="24"/>
          <w:highlight w:val="none"/>
        </w:rPr>
        <w:t>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cs="宋体"/>
          <w:bCs/>
          <w:color w:val="000000"/>
          <w:sz w:val="24"/>
          <w:highlight w:val="none"/>
          <w:lang w:eastAsia="zh-CN"/>
        </w:rPr>
        <w:t>，</w:t>
      </w:r>
      <w:r>
        <w:rPr>
          <w:rFonts w:hint="eastAsia" w:ascii="宋体" w:hAnsi="宋体" w:cs="宋体"/>
          <w:b w:val="0"/>
          <w:bCs/>
          <w:color w:val="000000"/>
          <w:sz w:val="24"/>
          <w:highlight w:val="none"/>
          <w:lang w:val="en-US" w:eastAsia="zh-CN"/>
        </w:rPr>
        <w:t>授权使用时限与履行相关法律法规和监管要求的必要时限一致</w:t>
      </w:r>
      <w:r>
        <w:rPr>
          <w:rFonts w:hint="eastAsia" w:ascii="宋体" w:hAnsi="宋体" w:cs="宋体"/>
          <w:b w:val="0"/>
          <w:bCs/>
          <w:color w:val="000000"/>
          <w:sz w:val="24"/>
          <w:highlight w:val="none"/>
        </w:rPr>
        <w:t>。</w:t>
      </w:r>
    </w:p>
    <w:p>
      <w:pPr>
        <w:widowControl/>
        <w:numPr>
          <w:ilvl w:val="0"/>
          <w:numId w:val="7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管理人在此特别披露：若理财计划管理人的关联方担任理财计划的代销机构、托管人、合作机构的，理财计划管理人将按照法律法规和监管要求履行相应程序，投资者认购或申购理财计划即知晓并同意该等安排。 </w:t>
      </w:r>
    </w:p>
    <w:p>
      <w:pPr>
        <w:spacing w:line="360" w:lineRule="auto"/>
        <w:rPr>
          <w:b/>
          <w:color w:val="000000"/>
          <w:sz w:val="24"/>
          <w:highlight w:val="none"/>
        </w:rPr>
      </w:pPr>
    </w:p>
    <w:p>
      <w:pPr>
        <w:numPr>
          <w:ilvl w:val="0"/>
          <w:numId w:val="75"/>
        </w:numPr>
        <w:spacing w:line="360" w:lineRule="auto"/>
        <w:ind w:firstLine="482" w:firstLineChars="200"/>
        <w:outlineLvl w:val="9"/>
        <w:rPr>
          <w:rFonts w:hint="eastAsia"/>
          <w:b/>
          <w:color w:val="000000"/>
          <w:sz w:val="24"/>
          <w:highlight w:val="none"/>
        </w:rPr>
      </w:pPr>
      <w:r>
        <w:rPr>
          <w:rFonts w:hint="eastAsia"/>
          <w:b/>
          <w:color w:val="000000"/>
          <w:sz w:val="24"/>
          <w:highlight w:val="none"/>
        </w:rPr>
        <w:t>理财计划认（申）购、赎回及终止</w:t>
      </w:r>
    </w:p>
    <w:p>
      <w:pPr>
        <w:widowControl/>
        <w:numPr>
          <w:ilvl w:val="0"/>
          <w:numId w:val="78"/>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理财计划认/申购办理流程：参照《投资者权益须知》约定。 </w:t>
      </w:r>
    </w:p>
    <w:p>
      <w:pPr>
        <w:widowControl/>
        <w:numPr>
          <w:ilvl w:val="0"/>
          <w:numId w:val="78"/>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78"/>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78"/>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 xml:space="preserve">理财计划投资品种、投资起点金额、收益支付方式：参照对应期次的《理财计划产品说明书》中的条款约定。 </w:t>
      </w:r>
    </w:p>
    <w:p>
      <w:pPr>
        <w:widowControl/>
        <w:numPr>
          <w:ilvl w:val="0"/>
          <w:numId w:val="78"/>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78"/>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color w:val="000000"/>
          <w:sz w:val="24"/>
          <w:highlight w:val="none"/>
        </w:rPr>
      </w:pPr>
    </w:p>
    <w:p>
      <w:pPr>
        <w:numPr>
          <w:ilvl w:val="0"/>
          <w:numId w:val="75"/>
        </w:numPr>
        <w:spacing w:line="360" w:lineRule="auto"/>
        <w:ind w:firstLine="482" w:firstLineChars="200"/>
        <w:outlineLvl w:val="9"/>
        <w:rPr>
          <w:rFonts w:hint="eastAsia"/>
          <w:b/>
          <w:color w:val="000000"/>
          <w:sz w:val="24"/>
          <w:highlight w:val="none"/>
        </w:rPr>
      </w:pPr>
      <w:r>
        <w:rPr>
          <w:rFonts w:hint="eastAsia"/>
          <w:b/>
          <w:color w:val="000000"/>
          <w:sz w:val="24"/>
          <w:highlight w:val="none"/>
        </w:rPr>
        <w:t>税收处理</w:t>
      </w:r>
    </w:p>
    <w:p>
      <w:pPr>
        <w:widowControl/>
        <w:spacing w:line="360" w:lineRule="auto"/>
        <w:ind w:firstLine="480" w:firstLineChars="200"/>
        <w:contextualSpacing/>
        <w:rPr>
          <w:rFonts w:hint="eastAsia" w:ascii="宋体" w:hAnsi="宋体"/>
          <w:color w:val="000000"/>
          <w:sz w:val="24"/>
          <w:highlight w:val="none"/>
        </w:rPr>
      </w:pPr>
      <w:r>
        <w:rPr>
          <w:rFonts w:hint="eastAsia" w:ascii="宋体" w:hAnsi="宋体"/>
          <w:color w:val="000000"/>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color w:val="000000"/>
          <w:sz w:val="24"/>
          <w:highlight w:val="none"/>
        </w:rPr>
      </w:pPr>
    </w:p>
    <w:p>
      <w:pPr>
        <w:numPr>
          <w:ilvl w:val="0"/>
          <w:numId w:val="75"/>
        </w:numPr>
        <w:spacing w:line="360" w:lineRule="auto"/>
        <w:ind w:firstLine="482" w:firstLineChars="200"/>
        <w:outlineLvl w:val="9"/>
        <w:rPr>
          <w:rFonts w:hint="eastAsia"/>
          <w:b/>
          <w:color w:val="000000"/>
          <w:sz w:val="24"/>
          <w:highlight w:val="none"/>
        </w:rPr>
      </w:pPr>
      <w:r>
        <w:rPr>
          <w:rFonts w:hint="eastAsia"/>
          <w:b/>
          <w:color w:val="000000"/>
          <w:sz w:val="24"/>
          <w:highlight w:val="none"/>
        </w:rPr>
        <w:t>违约责任及免责条款</w:t>
      </w:r>
    </w:p>
    <w:p>
      <w:pPr>
        <w:widowControl/>
        <w:numPr>
          <w:ilvl w:val="0"/>
          <w:numId w:val="79"/>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color w:val="000000"/>
          <w:sz w:val="24"/>
          <w:highlight w:val="none"/>
          <w:lang w:eastAsia="zh-CN"/>
        </w:rPr>
        <w:t>赎回</w:t>
      </w:r>
      <w:r>
        <w:rPr>
          <w:rFonts w:hint="eastAsia" w:ascii="宋体" w:hAnsi="宋体"/>
          <w:color w:val="000000"/>
          <w:sz w:val="24"/>
          <w:highlight w:val="none"/>
        </w:rPr>
        <w:t>，本合同自动终止。因提前终止而产生的损失及相关费用由投资者承担。本合同前述情况终止的，理财本金不计付</w:t>
      </w:r>
      <w:r>
        <w:rPr>
          <w:rFonts w:hint="eastAsia" w:ascii="宋体" w:hAnsi="宋体"/>
          <w:color w:val="000000"/>
          <w:sz w:val="24"/>
          <w:highlight w:val="none"/>
          <w:lang w:eastAsia="zh-CN"/>
        </w:rPr>
        <w:t>赎回</w:t>
      </w:r>
      <w:r>
        <w:rPr>
          <w:rFonts w:hint="eastAsia" w:ascii="宋体" w:hAnsi="宋体"/>
          <w:color w:val="000000"/>
          <w:sz w:val="24"/>
          <w:highlight w:val="none"/>
        </w:rPr>
        <w:t>日前的理财收益，也不计付存款利息。</w:t>
      </w:r>
    </w:p>
    <w:p>
      <w:pPr>
        <w:widowControl/>
        <w:numPr>
          <w:ilvl w:val="0"/>
          <w:numId w:val="79"/>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违反本协议第二条内容，应承担相应违约责任。管理人对由此导致的理财业务交易延误、中断、终止及投资人损失不承担任何责任，并有权终止双方理财业务关系。因投资人违反双方约定解除本协议给管理人或全体投资者造成损失的，投资人应承担相应的赔偿责任。</w:t>
      </w:r>
    </w:p>
    <w:p>
      <w:pPr>
        <w:widowControl/>
        <w:numPr>
          <w:ilvl w:val="0"/>
          <w:numId w:val="79"/>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79"/>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79"/>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因国家有关法律、法规、规章、政策的修改或新的法律、法规、规章、政策颁布以及紧急措施的出台导致的风险及损失，管理人不承担责任。</w:t>
      </w:r>
    </w:p>
    <w:p>
      <w:pPr>
        <w:widowControl/>
        <w:numPr>
          <w:ilvl w:val="0"/>
          <w:numId w:val="79"/>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管理人若严格按照产品说明书相关规定并勤勉尽责进行投资运作，因市场波动、资产风险事件等非因管理人违反法律法规、监管规定或理财计划合同约定的原因给投资者造成损失的，管理人不承担相应赔偿责任；但管理人存在故意或者重大过失的除外。</w:t>
      </w:r>
    </w:p>
    <w:p>
      <w:pPr>
        <w:widowControl/>
        <w:spacing w:line="360" w:lineRule="auto"/>
        <w:contextualSpacing/>
        <w:rPr>
          <w:rFonts w:ascii="宋体" w:hAnsi="宋体"/>
          <w:color w:val="000000"/>
          <w:sz w:val="24"/>
          <w:highlight w:val="none"/>
        </w:rPr>
      </w:pPr>
    </w:p>
    <w:p>
      <w:pPr>
        <w:numPr>
          <w:ilvl w:val="0"/>
          <w:numId w:val="75"/>
        </w:numPr>
        <w:spacing w:line="360" w:lineRule="auto"/>
        <w:ind w:firstLine="482" w:firstLineChars="200"/>
        <w:outlineLvl w:val="9"/>
        <w:rPr>
          <w:b/>
          <w:color w:val="000000"/>
          <w:sz w:val="24"/>
          <w:highlight w:val="none"/>
        </w:rPr>
      </w:pPr>
      <w:r>
        <w:rPr>
          <w:rFonts w:hint="eastAsia"/>
          <w:b/>
          <w:color w:val="000000"/>
          <w:sz w:val="24"/>
          <w:highlight w:val="none"/>
        </w:rPr>
        <w:t>适用法律与争议解决</w:t>
      </w:r>
    </w:p>
    <w:p>
      <w:pPr>
        <w:widowControl/>
        <w:spacing w:line="360" w:lineRule="auto"/>
        <w:ind w:firstLine="480" w:firstLineChars="200"/>
        <w:contextualSpacing/>
        <w:rPr>
          <w:rFonts w:ascii="宋体" w:hAnsi="宋体"/>
          <w:color w:val="000000"/>
          <w:sz w:val="24"/>
          <w:highlight w:val="none"/>
        </w:rPr>
      </w:pPr>
      <w:r>
        <w:rPr>
          <w:rFonts w:hint="eastAsia" w:ascii="宋体" w:hAnsi="宋体"/>
          <w:color w:val="000000"/>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color w:val="000000"/>
          <w:sz w:val="24"/>
          <w:highlight w:val="none"/>
        </w:rPr>
        <w:t>的法律和行政法规。本合同项下的及与之有关的一切争议，投资者与管理人双方应首先协商解决，协商不成的，任何一方均有权向被告住所地有管辖权的人民法院提起诉讼。诉讼期间，未涉及争议的条款仍需继续履行。</w:t>
      </w:r>
    </w:p>
    <w:p>
      <w:pPr>
        <w:spacing w:line="360" w:lineRule="auto"/>
        <w:ind w:left="482"/>
        <w:rPr>
          <w:b/>
          <w:color w:val="000000"/>
          <w:sz w:val="24"/>
          <w:highlight w:val="none"/>
        </w:rPr>
      </w:pPr>
    </w:p>
    <w:p>
      <w:pPr>
        <w:numPr>
          <w:ilvl w:val="0"/>
          <w:numId w:val="75"/>
        </w:numPr>
        <w:spacing w:line="360" w:lineRule="auto"/>
        <w:ind w:firstLine="482" w:firstLineChars="200"/>
        <w:outlineLvl w:val="9"/>
        <w:rPr>
          <w:rFonts w:hint="eastAsia"/>
          <w:b/>
          <w:color w:val="000000"/>
          <w:sz w:val="24"/>
          <w:highlight w:val="none"/>
        </w:rPr>
      </w:pPr>
      <w:r>
        <w:rPr>
          <w:rFonts w:hint="eastAsia"/>
          <w:b/>
          <w:color w:val="000000"/>
          <w:sz w:val="24"/>
          <w:highlight w:val="none"/>
        </w:rPr>
        <w:t>协议生效和终止</w:t>
      </w:r>
    </w:p>
    <w:p>
      <w:pPr>
        <w:widowControl/>
        <w:numPr>
          <w:ilvl w:val="0"/>
          <w:numId w:val="80"/>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投资者和管理人双方认可本协议可以纸质或电子数据等形式提交、订立或确认。 </w:t>
      </w:r>
    </w:p>
    <w:p>
      <w:pPr>
        <w:widowControl/>
        <w:numPr>
          <w:ilvl w:val="0"/>
          <w:numId w:val="80"/>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本协议书以纸质书面形式订立的，自投资者</w:t>
      </w:r>
      <w:r>
        <w:rPr>
          <w:rFonts w:hint="eastAsia" w:ascii="宋体" w:hAnsi="宋体"/>
          <w:color w:val="000000"/>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hint="eastAsia" w:ascii="宋体" w:hAnsi="宋体"/>
          <w:color w:val="000000"/>
          <w:sz w:val="24"/>
          <w:highlight w:val="none"/>
        </w:rPr>
        <w:t>之后立即生效。协议一式</w:t>
      </w:r>
      <w:r>
        <w:rPr>
          <w:rFonts w:hint="eastAsia" w:ascii="宋体" w:hAnsi="宋体"/>
          <w:color w:val="000000"/>
          <w:sz w:val="24"/>
          <w:highlight w:val="none"/>
          <w:lang w:eastAsia="zh-CN"/>
        </w:rPr>
        <w:t>贰</w:t>
      </w:r>
      <w:r>
        <w:rPr>
          <w:rFonts w:hint="eastAsia" w:ascii="宋体" w:hAnsi="宋体"/>
          <w:color w:val="000000"/>
          <w:sz w:val="24"/>
          <w:highlight w:val="none"/>
        </w:rPr>
        <w:t>份，投资者和管理人双方各执</w:t>
      </w:r>
      <w:r>
        <w:rPr>
          <w:rFonts w:hint="eastAsia" w:ascii="宋体" w:hAnsi="宋体"/>
          <w:color w:val="000000"/>
          <w:sz w:val="24"/>
          <w:highlight w:val="none"/>
          <w:lang w:eastAsia="zh-CN"/>
        </w:rPr>
        <w:t>壹</w:t>
      </w:r>
      <w:r>
        <w:rPr>
          <w:rFonts w:hint="eastAsia" w:ascii="宋体" w:hAnsi="宋体"/>
          <w:color w:val="000000"/>
          <w:sz w:val="24"/>
          <w:highlight w:val="none"/>
        </w:rPr>
        <w:t xml:space="preserve">份，具有同等法律效力。 </w:t>
      </w:r>
    </w:p>
    <w:p>
      <w:pPr>
        <w:widowControl/>
        <w:numPr>
          <w:ilvl w:val="0"/>
          <w:numId w:val="80"/>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80"/>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color w:val="000000"/>
          <w:sz w:val="24"/>
          <w:highlight w:val="none"/>
        </w:rPr>
      </w:pPr>
    </w:p>
    <w:p>
      <w:pPr>
        <w:numPr>
          <w:ilvl w:val="0"/>
          <w:numId w:val="75"/>
        </w:numPr>
        <w:spacing w:line="360" w:lineRule="auto"/>
        <w:ind w:firstLine="482" w:firstLineChars="200"/>
        <w:outlineLvl w:val="9"/>
        <w:rPr>
          <w:b/>
          <w:color w:val="000000"/>
          <w:sz w:val="24"/>
          <w:highlight w:val="none"/>
        </w:rPr>
      </w:pPr>
      <w:r>
        <w:rPr>
          <w:rFonts w:hint="eastAsia"/>
          <w:b/>
          <w:color w:val="000000"/>
          <w:sz w:val="24"/>
          <w:highlight w:val="none"/>
        </w:rPr>
        <w:t>附则</w:t>
      </w:r>
    </w:p>
    <w:p>
      <w:pPr>
        <w:widowControl/>
        <w:numPr>
          <w:ilvl w:val="0"/>
          <w:numId w:val="81"/>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pPr>
        <w:widowControl/>
        <w:numPr>
          <w:ilvl w:val="0"/>
          <w:numId w:val="81"/>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如果由于任何原因使本合同下的任何条款或内容成为无效或被依法撤销，本合同其他条款或内容的合法性、有效性和可执行性不受影响。</w:t>
      </w:r>
    </w:p>
    <w:p>
      <w:pPr>
        <w:widowControl/>
        <w:numPr>
          <w:ilvl w:val="0"/>
          <w:numId w:val="81"/>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在理财计划存续期内，如因监管政策或法律法规发生变化，在不损害投资者利益的前提下，管理人有权对理财计划合同进行修订。</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pStyle w:val="9"/>
        <w:widowControl/>
        <w:spacing w:line="360" w:lineRule="auto"/>
        <w:jc w:val="right"/>
        <w:rPr>
          <w:rFonts w:ascii="宋体" w:hAnsi="宋体" w:cs="宋体"/>
          <w:bCs/>
          <w:color w:val="000000"/>
          <w:sz w:val="24"/>
          <w:highlight w:val="none"/>
        </w:rPr>
      </w:pPr>
      <w:r>
        <w:rPr>
          <w:rFonts w:hint="eastAsia" w:ascii="宋体" w:hAnsi="宋体" w:cs="宋体"/>
          <w:color w:val="000000"/>
          <w:kern w:val="0"/>
          <w:highlight w:val="none"/>
        </w:rPr>
        <w:t>杭银理财有限责任公司</w:t>
      </w:r>
    </w:p>
    <w:p>
      <w:pPr>
        <w:pageBreakBefore/>
        <w:widowControl/>
        <w:spacing w:line="360" w:lineRule="auto"/>
        <w:rPr>
          <w:rFonts w:ascii="宋体" w:hAnsi="宋体"/>
          <w:color w:val="000000"/>
          <w:sz w:val="24"/>
          <w:highlight w:val="none"/>
        </w:rPr>
      </w:pPr>
      <w:r>
        <w:rPr>
          <w:rFonts w:hint="eastAsia" w:ascii="宋体" w:hAnsi="宋体"/>
          <w:color w:val="000000"/>
          <w:sz w:val="24"/>
          <w:highlight w:val="none"/>
        </w:rPr>
        <w:t>本页为纸质形式（如有）</w:t>
      </w:r>
      <w:r>
        <w:rPr>
          <w:rFonts w:hint="eastAsia" w:ascii="宋体" w:hAnsi="宋体"/>
          <w:color w:val="000000"/>
          <w:sz w:val="24"/>
          <w:highlight w:val="none"/>
          <w:lang w:val="en-US" w:eastAsia="zh-CN"/>
        </w:rPr>
        <w:t>投资</w:t>
      </w:r>
      <w:r>
        <w:rPr>
          <w:rFonts w:hint="eastAsia" w:ascii="宋体" w:hAnsi="宋体"/>
          <w:color w:val="000000"/>
          <w:sz w:val="24"/>
          <w:highlight w:val="none"/>
        </w:rPr>
        <w:t>协议书签章页</w:t>
      </w: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rFonts w:hint="eastAsia" w:ascii="宋体" w:hAnsi="宋体"/>
          <w:b/>
          <w:bCs/>
          <w:color w:val="000000"/>
          <w:sz w:val="24"/>
          <w:highlight w:val="none"/>
        </w:rPr>
      </w:pPr>
      <w:r>
        <w:rPr>
          <w:rFonts w:hint="eastAsia" w:ascii="宋体" w:hAnsi="宋体"/>
          <w:b/>
          <w:bCs/>
          <w:color w:val="000000"/>
          <w:sz w:val="24"/>
          <w:highlight w:val="none"/>
        </w:rPr>
        <w:t>投资者（签字</w:t>
      </w:r>
      <w:r>
        <w:rPr>
          <w:rFonts w:hint="eastAsia" w:ascii="宋体" w:hAnsi="宋体" w:eastAsia="宋体" w:cs="黑体"/>
          <w:b/>
          <w:bCs/>
          <w:color w:val="000000"/>
          <w:sz w:val="24"/>
          <w:highlight w:val="none"/>
          <w:lang w:eastAsia="zh-CN"/>
        </w:rPr>
        <w:t>或签章</w:t>
      </w:r>
      <w:r>
        <w:rPr>
          <w:rFonts w:hint="eastAsia" w:ascii="宋体" w:hAnsi="宋体"/>
          <w:b/>
          <w:bCs/>
          <w:color w:val="000000"/>
          <w:sz w:val="24"/>
          <w:highlight w:val="none"/>
        </w:rPr>
        <w:t>）：</w:t>
      </w:r>
    </w:p>
    <w:p>
      <w:pPr>
        <w:spacing w:line="360" w:lineRule="auto"/>
        <w:rPr>
          <w:rFonts w:hint="eastAsia" w:ascii="宋体" w:hAnsi="宋体"/>
          <w:b/>
          <w:bCs/>
          <w:color w:val="000000"/>
          <w:sz w:val="24"/>
          <w:highlight w:val="none"/>
        </w:rPr>
      </w:pPr>
    </w:p>
    <w:p>
      <w:pPr>
        <w:spacing w:line="360" w:lineRule="auto"/>
        <w:rPr>
          <w:rFonts w:hint="eastAsia" w:ascii="宋体" w:hAnsi="宋体"/>
          <w:b/>
          <w:bCs/>
          <w:color w:val="000000"/>
          <w:sz w:val="24"/>
          <w:highlight w:val="none"/>
        </w:rPr>
      </w:pPr>
    </w:p>
    <w:p>
      <w:pPr>
        <w:spacing w:before="156" w:beforeLines="50" w:after="156" w:afterLines="50" w:line="360" w:lineRule="auto"/>
        <w:ind w:firstLine="4800" w:firstLineChars="2000"/>
        <w:jc w:val="right"/>
        <w:rPr>
          <w:rFonts w:ascii="宋体" w:hAnsi="宋体" w:cs="宋体"/>
          <w:bCs/>
          <w:color w:val="000000"/>
          <w:sz w:val="24"/>
          <w:highlight w:val="none"/>
        </w:rPr>
      </w:pPr>
      <w:r>
        <w:rPr>
          <w:rFonts w:hint="eastAsia" w:ascii="Arial" w:hAnsi="Arial"/>
          <w:color w:val="000000"/>
          <w:sz w:val="24"/>
          <w:highlight w:val="none"/>
        </w:rPr>
        <w:t xml:space="preserve">   年   月   日</w:t>
      </w:r>
    </w:p>
    <w:p>
      <w:pPr>
        <w:pageBreakBefore/>
        <w:widowControl/>
        <w:spacing w:line="120" w:lineRule="auto"/>
        <w:jc w:val="center"/>
        <w:outlineLvl w:val="9"/>
        <w:rPr>
          <w:rFonts w:hint="eastAsia" w:ascii="Calibri" w:hAnsi="Calibri" w:eastAsia="宋体" w:cs="黑体"/>
          <w:b/>
          <w:bCs w:val="0"/>
          <w:color w:val="000000"/>
          <w:sz w:val="44"/>
          <w:szCs w:val="44"/>
          <w:highlight w:val="none"/>
        </w:rPr>
      </w:pPr>
      <w:r>
        <w:rPr>
          <w:rFonts w:hint="eastAsia" w:ascii="Calibri" w:hAnsi="Calibri" w:eastAsia="宋体" w:cs="黑体"/>
          <w:b/>
          <w:bCs w:val="0"/>
          <w:color w:val="000000"/>
          <w:sz w:val="44"/>
          <w:szCs w:val="44"/>
          <w:highlight w:val="none"/>
          <w:lang w:val="en-US" w:eastAsia="zh-CN"/>
        </w:rPr>
        <w:t>杭银理财理财计划</w:t>
      </w:r>
      <w:r>
        <w:rPr>
          <w:rFonts w:hint="eastAsia" w:ascii="Calibri" w:hAnsi="Calibri" w:eastAsia="宋体" w:cs="黑体"/>
          <w:b/>
          <w:bCs w:val="0"/>
          <w:color w:val="000000"/>
          <w:sz w:val="44"/>
          <w:szCs w:val="44"/>
          <w:highlight w:val="none"/>
        </w:rPr>
        <w:t>销售协议书</w:t>
      </w:r>
    </w:p>
    <w:p>
      <w:pPr>
        <w:jc w:val="center"/>
        <w:rPr>
          <w:rFonts w:hint="eastAsia" w:ascii="宋体" w:hAnsi="宋体" w:eastAsia="宋体" w:cs="宋体"/>
          <w:b w:val="0"/>
          <w:bCs w:val="0"/>
          <w:color w:val="000000"/>
          <w:sz w:val="28"/>
          <w:szCs w:val="28"/>
          <w:highlight w:val="none"/>
        </w:rPr>
      </w:pP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eastAsia="zh-CN"/>
        </w:rPr>
        <w:t>202601</w:t>
      </w:r>
      <w:r>
        <w:rPr>
          <w:rFonts w:hint="eastAsia" w:ascii="宋体" w:hAnsi="宋体" w:eastAsia="宋体" w:cs="宋体"/>
          <w:color w:val="000000"/>
          <w:sz w:val="28"/>
          <w:szCs w:val="28"/>
          <w:highlight w:val="none"/>
        </w:rPr>
        <w:t>版）</w:t>
      </w:r>
    </w:p>
    <w:p>
      <w:pPr>
        <w:spacing w:line="360" w:lineRule="auto"/>
        <w:jc w:val="center"/>
        <w:rPr>
          <w:rFonts w:hint="default"/>
          <w:color w:val="000000"/>
          <w:sz w:val="32"/>
          <w:szCs w:val="40"/>
          <w:highlight w:val="none"/>
          <w:lang w:val="en-US" w:eastAsia="zh-CN"/>
        </w:rPr>
      </w:pPr>
      <w:r>
        <w:rPr>
          <w:rFonts w:hint="eastAsia" w:ascii="宋体" w:hAnsi="宋体" w:cs="宋体"/>
          <w:b/>
          <w:bCs/>
          <w:color w:val="000000"/>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color w:val="000000"/>
          <w:sz w:val="24"/>
          <w:highlight w:val="none"/>
        </w:rPr>
      </w:pPr>
      <w:r>
        <w:rPr>
          <w:rFonts w:hint="eastAsia" w:ascii="Calibri" w:hAnsi="Calibri" w:eastAsia="宋体" w:cs="黑体"/>
          <w:b/>
          <w:bCs/>
          <w:color w:val="000000"/>
          <w:sz w:val="24"/>
          <w:highlight w:val="none"/>
        </w:rPr>
        <w:t>特别提示：</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rPr>
        <w:t>杭银理财</w:t>
      </w:r>
      <w:r>
        <w:rPr>
          <w:rFonts w:hint="eastAsia" w:ascii="Calibri" w:hAnsi="Calibri" w:eastAsia="宋体" w:cs="黑体"/>
          <w:b/>
          <w:bCs/>
          <w:color w:val="000000"/>
          <w:sz w:val="24"/>
          <w:highlight w:val="none"/>
          <w:lang w:val="en-US" w:eastAsia="zh-CN"/>
        </w:rPr>
        <w:t>理财计划销售协议书</w:t>
      </w:r>
      <w:r>
        <w:rPr>
          <w:rFonts w:hint="eastAsia" w:ascii="宋体" w:hAnsi="宋体" w:eastAsia="宋体" w:cs="宋体"/>
          <w:b/>
          <w:bCs/>
          <w:color w:val="000000"/>
          <w:sz w:val="24"/>
          <w:highlight w:val="none"/>
          <w:lang w:val="en-US" w:eastAsia="zh-CN"/>
        </w:rPr>
        <w:t>（202601</w:t>
      </w:r>
      <w:r>
        <w:rPr>
          <w:rFonts w:hint="eastAsia" w:ascii="Calibri" w:hAnsi="Calibri" w:eastAsia="宋体" w:cs="黑体"/>
          <w:b/>
          <w:bCs/>
          <w:color w:val="000000"/>
          <w:sz w:val="24"/>
          <w:highlight w:val="none"/>
          <w:lang w:val="en-US" w:eastAsia="zh-CN"/>
        </w:rPr>
        <w:t>版）</w:t>
      </w:r>
      <w:r>
        <w:rPr>
          <w:rFonts w:hint="eastAsia" w:ascii="Calibri" w:hAnsi="Calibri" w:eastAsia="宋体" w:cs="黑体"/>
          <w:b/>
          <w:bCs/>
          <w:color w:val="000000"/>
          <w:sz w:val="24"/>
          <w:highlight w:val="none"/>
          <w:lang w:eastAsia="zh-CN"/>
        </w:rPr>
        <w:t>》</w:t>
      </w:r>
      <w:r>
        <w:rPr>
          <w:rFonts w:hint="eastAsia" w:ascii="Calibri" w:hAnsi="Calibri" w:eastAsia="宋体" w:cs="黑体"/>
          <w:b/>
          <w:bCs/>
          <w:color w:val="000000"/>
          <w:sz w:val="24"/>
          <w:highlight w:val="none"/>
          <w:lang w:val="en-US" w:eastAsia="zh-CN"/>
        </w:rPr>
        <w:t>与对应期次的</w:t>
      </w:r>
      <w:r>
        <w:rPr>
          <w:rFonts w:hint="eastAsia" w:eastAsia="宋体" w:cs="黑体"/>
          <w:b/>
          <w:bCs/>
          <w:color w:val="000000"/>
          <w:sz w:val="24"/>
          <w:highlight w:val="none"/>
          <w:lang w:val="en-US" w:eastAsia="zh-CN"/>
        </w:rPr>
        <w:t>理财计划风险揭示书、理财计划产品说明书、投资者权益须知及</w:t>
      </w:r>
      <w:r>
        <w:rPr>
          <w:rFonts w:hint="eastAsia" w:ascii="Calibri" w:hAnsi="Calibri" w:eastAsia="宋体" w:cs="黑体"/>
          <w:b/>
          <w:bCs/>
          <w:color w:val="000000"/>
          <w:sz w:val="24"/>
          <w:highlight w:val="none"/>
        </w:rPr>
        <w:t>理财计划投资协议书共同构成完整且不可分割的理财计划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。杭银理财有限责任公司（以下简称“杭银理财”）建议投资者在购买理财计划前认真阅读</w:t>
      </w:r>
      <w:r>
        <w:rPr>
          <w:rFonts w:hint="eastAsia" w:ascii="Calibri" w:hAnsi="Calibri" w:eastAsia="宋体" w:cs="黑体"/>
          <w:b/>
          <w:bCs/>
          <w:color w:val="000000"/>
          <w:sz w:val="24"/>
          <w:highlight w:val="none"/>
          <w:lang w:val="en-US" w:eastAsia="zh-CN"/>
        </w:rPr>
        <w:t>全套</w:t>
      </w:r>
      <w:r>
        <w:rPr>
          <w:rFonts w:hint="eastAsia" w:ascii="Calibri" w:hAnsi="Calibri" w:eastAsia="宋体" w:cs="黑体"/>
          <w:b/>
          <w:bCs/>
          <w:color w:val="000000"/>
          <w:sz w:val="24"/>
          <w:highlight w:val="none"/>
        </w:rPr>
        <w:t>理财计划</w:t>
      </w:r>
      <w:r>
        <w:rPr>
          <w:rFonts w:hint="eastAsia" w:ascii="Calibri" w:hAnsi="Calibri" w:eastAsia="宋体" w:cs="黑体"/>
          <w:b/>
          <w:bCs/>
          <w:color w:val="000000"/>
          <w:sz w:val="24"/>
          <w:highlight w:val="none"/>
          <w:lang w:val="en-US" w:eastAsia="zh-CN"/>
        </w:rPr>
        <w:t>合同</w:t>
      </w:r>
      <w:r>
        <w:rPr>
          <w:rFonts w:hint="eastAsia" w:ascii="Calibri" w:hAnsi="Calibri" w:eastAsia="宋体" w:cs="黑体"/>
          <w:b/>
          <w:bCs/>
          <w:color w:val="000000"/>
          <w:sz w:val="24"/>
          <w:highlight w:val="none"/>
        </w:rPr>
        <w:t>，投资者签署本协议书（含电子渠道签署）即知晓并同意已详细阅读理财计划合同并知悉相关风险，自愿投资购买理财计划、遵守合同约定并承担相应风险。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color w:val="000000"/>
          <w:sz w:val="24"/>
          <w:highlight w:val="none"/>
          <w:lang w:val="en-US" w:eastAsia="zh-CN"/>
        </w:rPr>
      </w:pPr>
      <w:r>
        <w:rPr>
          <w:rFonts w:hint="eastAsia" w:ascii="Calibri" w:hAnsi="Calibri" w:eastAsia="宋体" w:cs="黑体"/>
          <w:b/>
          <w:bCs/>
          <w:color w:val="000000"/>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color w:val="000000"/>
          <w:sz w:val="24"/>
          <w:highlight w:val="none"/>
          <w:lang w:val="en-US" w:eastAsia="zh-CN"/>
        </w:rPr>
      </w:pPr>
      <w:r>
        <w:rPr>
          <w:rFonts w:hint="eastAsia" w:ascii="Calibri" w:hAnsi="Calibri" w:eastAsia="宋体" w:cs="黑体"/>
          <w:color w:val="000000"/>
          <w:sz w:val="24"/>
          <w:highlight w:val="none"/>
          <w:lang w:val="en-US" w:eastAsia="zh-CN"/>
        </w:rPr>
        <w:t>理财计划销售的相关法律主体为发行理财计划的理财公司、</w:t>
      </w:r>
      <w:r>
        <w:rPr>
          <w:rFonts w:hint="eastAsia" w:eastAsia="宋体" w:cs="黑体"/>
          <w:color w:val="000000"/>
          <w:sz w:val="24"/>
          <w:highlight w:val="none"/>
          <w:lang w:val="en-US" w:eastAsia="zh-CN"/>
        </w:rPr>
        <w:t>理财公司自有销售渠道以及</w:t>
      </w:r>
      <w:r>
        <w:rPr>
          <w:rFonts w:hint="eastAsia" w:ascii="Calibri" w:hAnsi="Calibri" w:eastAsia="宋体" w:cs="黑体"/>
          <w:color w:val="000000"/>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color w:val="000000"/>
          <w:sz w:val="24"/>
          <w:highlight w:val="none"/>
          <w:lang w:val="en-US" w:eastAsia="zh-CN"/>
        </w:rPr>
        <w:t>理财公司和</w:t>
      </w:r>
      <w:r>
        <w:rPr>
          <w:rFonts w:hint="eastAsia" w:ascii="Calibri" w:hAnsi="Calibri" w:eastAsia="宋体" w:cs="黑体"/>
          <w:color w:val="000000"/>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color w:val="000000"/>
          <w:sz w:val="24"/>
          <w:highlight w:val="none"/>
          <w:lang w:val="en-US" w:eastAsia="zh-CN"/>
        </w:rPr>
      </w:pPr>
      <w:r>
        <w:rPr>
          <w:rFonts w:hint="eastAsia" w:ascii="Calibri" w:hAnsi="Calibri" w:eastAsia="宋体" w:cs="黑体"/>
          <w:color w:val="000000"/>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9"/>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第一条 </w:t>
      </w:r>
      <w:r>
        <w:rPr>
          <w:rFonts w:hint="eastAsia" w:ascii="Calibri" w:hAnsi="Calibri" w:eastAsia="宋体" w:cs="黑体"/>
          <w:b/>
          <w:bCs/>
          <w:color w:val="000000"/>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color w:val="000000"/>
          <w:sz w:val="24"/>
          <w:highlight w:val="none"/>
          <w:lang w:val="en-US" w:eastAsia="zh-CN"/>
        </w:rPr>
      </w:pPr>
      <w:r>
        <w:rPr>
          <w:rFonts w:hint="eastAsia" w:ascii="Calibri" w:hAnsi="Calibri" w:eastAsia="宋体" w:cs="黑体"/>
          <w:bCs/>
          <w:color w:val="000000"/>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9"/>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第二条 </w:t>
      </w:r>
      <w:r>
        <w:rPr>
          <w:rFonts w:hint="eastAsia" w:ascii="Calibri" w:hAnsi="Calibri" w:eastAsia="宋体" w:cs="黑体"/>
          <w:b/>
          <w:bCs/>
          <w:color w:val="000000"/>
          <w:sz w:val="24"/>
          <w:highlight w:val="none"/>
          <w:lang w:val="en-US" w:eastAsia="zh-CN"/>
        </w:rPr>
        <w:t>投资者权利与义务</w:t>
      </w:r>
    </w:p>
    <w:p>
      <w:pPr>
        <w:widowControl/>
        <w:numPr>
          <w:ilvl w:val="0"/>
          <w:numId w:val="82"/>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82"/>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投资者保证自身完全了解理财投资的性质，投资所涉及的风险以及自身风险承受能力，在慎重考虑后独立作出交易决定。</w:t>
      </w:r>
    </w:p>
    <w:p>
      <w:pPr>
        <w:widowControl/>
        <w:numPr>
          <w:ilvl w:val="0"/>
          <w:numId w:val="82"/>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b/>
          <w:bCs/>
          <w:color w:val="000000"/>
          <w:sz w:val="24"/>
          <w:highlight w:val="none"/>
        </w:rPr>
        <w:t>投资者购买</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lang w:eastAsia="zh-CN"/>
        </w:rPr>
        <w:t>代理销售</w:t>
      </w:r>
      <w:r>
        <w:rPr>
          <w:rFonts w:hint="eastAsia" w:ascii="宋体" w:hAnsi="宋体" w:eastAsia="宋体" w:cs="黑体"/>
          <w:b/>
          <w:bCs/>
          <w:color w:val="000000"/>
          <w:sz w:val="24"/>
          <w:highlight w:val="none"/>
        </w:rPr>
        <w:t>的私募</w:t>
      </w:r>
      <w:r>
        <w:rPr>
          <w:rFonts w:hint="eastAsia" w:ascii="宋体" w:hAnsi="宋体" w:eastAsia="宋体" w:cs="黑体"/>
          <w:b/>
          <w:bCs/>
          <w:color w:val="000000"/>
          <w:sz w:val="24"/>
          <w:highlight w:val="none"/>
          <w:lang w:eastAsia="zh-CN"/>
        </w:rPr>
        <w:t>理财计划</w:t>
      </w:r>
      <w:r>
        <w:rPr>
          <w:rFonts w:hint="eastAsia" w:ascii="宋体" w:hAnsi="宋体" w:eastAsia="宋体" w:cs="黑体"/>
          <w:b/>
          <w:bCs/>
          <w:color w:val="000000"/>
          <w:sz w:val="24"/>
          <w:highlight w:val="none"/>
        </w:rPr>
        <w:t>后，可以享有24 小时的投资冷静期，在投资冷静期内，如</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改变投资决定，应提出解除相应理财</w:t>
      </w:r>
      <w:r>
        <w:rPr>
          <w:rFonts w:hint="eastAsia" w:ascii="宋体" w:hAnsi="宋体" w:eastAsia="宋体" w:cs="黑体"/>
          <w:b/>
          <w:bCs/>
          <w:color w:val="000000"/>
          <w:sz w:val="24"/>
          <w:highlight w:val="none"/>
          <w:lang w:val="en-US" w:eastAsia="zh-CN"/>
        </w:rPr>
        <w:t>计划合同</w:t>
      </w:r>
      <w:r>
        <w:rPr>
          <w:rFonts w:hint="eastAsia" w:ascii="宋体" w:hAnsi="宋体" w:eastAsia="宋体" w:cs="黑体"/>
          <w:b/>
          <w:bCs/>
          <w:color w:val="000000"/>
          <w:sz w:val="24"/>
          <w:highlight w:val="none"/>
        </w:rPr>
        <w:t>文件申请，</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将及时退还</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的全部投资款项。</w:t>
      </w:r>
      <w:r>
        <w:rPr>
          <w:rFonts w:hint="eastAsia" w:ascii="宋体" w:hAnsi="宋体" w:eastAsia="宋体" w:cs="黑体"/>
          <w:color w:val="000000"/>
          <w:sz w:val="24"/>
          <w:highlight w:val="none"/>
        </w:rPr>
        <w:t>投资冷静期相关约定详见</w:t>
      </w:r>
      <w:r>
        <w:rPr>
          <w:rFonts w:hint="eastAsia" w:ascii="宋体" w:hAnsi="宋体" w:eastAsia="宋体" w:cs="黑体"/>
          <w:color w:val="000000"/>
          <w:sz w:val="24"/>
          <w:highlight w:val="none"/>
          <w:lang w:val="en-US" w:eastAsia="zh-CN"/>
        </w:rPr>
        <w:t>理财计划产品</w:t>
      </w:r>
      <w:r>
        <w:rPr>
          <w:rFonts w:hint="eastAsia" w:ascii="宋体" w:hAnsi="宋体" w:eastAsia="宋体" w:cs="黑体"/>
          <w:color w:val="000000"/>
          <w:sz w:val="24"/>
          <w:highlight w:val="none"/>
        </w:rPr>
        <w:t>说明书</w:t>
      </w:r>
      <w:r>
        <w:rPr>
          <w:rFonts w:hint="eastAsia" w:ascii="宋体" w:hAnsi="宋体" w:eastAsia="宋体" w:cs="黑体"/>
          <w:color w:val="000000"/>
          <w:sz w:val="24"/>
          <w:highlight w:val="none"/>
          <w:lang w:eastAsia="zh-CN"/>
        </w:rPr>
        <w:t>。</w:t>
      </w:r>
    </w:p>
    <w:p>
      <w:pPr>
        <w:widowControl/>
        <w:numPr>
          <w:ilvl w:val="0"/>
          <w:numId w:val="82"/>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投资者保证其有权利签署本协议和履行本协议所述的义务，并已为此采取一切所需的行为。</w:t>
      </w:r>
    </w:p>
    <w:p>
      <w:pPr>
        <w:widowControl/>
        <w:numPr>
          <w:ilvl w:val="0"/>
          <w:numId w:val="82"/>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投资者保证执行及交付任何文件或履行本协议项下的义务，均不会违反任何适用法律、法规、法令或法律限制</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color w:val="000000"/>
          <w:sz w:val="24"/>
          <w:highlight w:val="none"/>
          <w:lang w:val="en-US" w:eastAsia="zh-CN"/>
        </w:rPr>
        <w:t>其</w:t>
      </w:r>
      <w:r>
        <w:rPr>
          <w:rFonts w:hint="eastAsia" w:ascii="宋体" w:hAnsi="宋体" w:eastAsia="宋体" w:cs="黑体"/>
          <w:color w:val="000000"/>
          <w:sz w:val="24"/>
          <w:highlight w:val="none"/>
        </w:rPr>
        <w:t>授权指定</w:t>
      </w:r>
      <w:r>
        <w:rPr>
          <w:rFonts w:hint="eastAsia" w:ascii="宋体" w:hAnsi="宋体" w:eastAsia="宋体" w:cs="黑体"/>
          <w:color w:val="000000"/>
          <w:sz w:val="24"/>
          <w:highlight w:val="none"/>
          <w:lang w:val="en-US" w:eastAsia="zh-CN"/>
        </w:rPr>
        <w:t>的</w:t>
      </w:r>
      <w:r>
        <w:rPr>
          <w:rFonts w:hint="eastAsia" w:ascii="宋体" w:hAnsi="宋体" w:eastAsia="宋体" w:cs="黑体"/>
          <w:color w:val="000000"/>
          <w:sz w:val="24"/>
          <w:highlight w:val="none"/>
        </w:rPr>
        <w:t>账户</w:t>
      </w:r>
      <w:r>
        <w:rPr>
          <w:rFonts w:hint="eastAsia" w:ascii="宋体" w:hAnsi="宋体" w:eastAsia="宋体" w:cs="黑体"/>
          <w:color w:val="000000"/>
          <w:sz w:val="24"/>
          <w:highlight w:val="none"/>
          <w:lang w:val="en-US" w:eastAsia="zh-CN"/>
        </w:rPr>
        <w:t>中（以下简称“授权指定账户”）</w:t>
      </w:r>
      <w:r>
        <w:rPr>
          <w:rFonts w:hint="eastAsia" w:ascii="宋体" w:hAnsi="宋体" w:eastAsia="宋体" w:cs="黑体"/>
          <w:color w:val="000000"/>
          <w:sz w:val="24"/>
          <w:highlight w:val="none"/>
        </w:rPr>
        <w:t>存入足额的资金以确保账户余额大于或等于认/申购金额。</w:t>
      </w:r>
    </w:p>
    <w:p>
      <w:pPr>
        <w:widowControl/>
        <w:numPr>
          <w:ilvl w:val="0"/>
          <w:numId w:val="82"/>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在此确认</w:t>
      </w:r>
      <w:r>
        <w:rPr>
          <w:rFonts w:hint="eastAsia" w:ascii="宋体" w:hAnsi="宋体" w:eastAsia="宋体" w:cs="黑体"/>
          <w:b/>
          <w:bCs/>
          <w:color w:val="000000"/>
          <w:sz w:val="24"/>
          <w:highlight w:val="none"/>
          <w:lang w:val="en-US" w:eastAsia="zh-CN"/>
        </w:rPr>
        <w:t>销售机构</w:t>
      </w:r>
      <w:r>
        <w:rPr>
          <w:rFonts w:hint="eastAsia" w:ascii="宋体" w:hAnsi="宋体" w:eastAsia="宋体" w:cs="黑体"/>
          <w:b/>
          <w:bCs/>
          <w:color w:val="000000"/>
          <w:sz w:val="24"/>
          <w:highlight w:val="none"/>
        </w:rPr>
        <w:t>的系统记录以及录音、录像构成对</w:t>
      </w:r>
      <w:r>
        <w:rPr>
          <w:rFonts w:hint="eastAsia" w:ascii="宋体" w:hAnsi="宋体" w:eastAsia="宋体" w:cs="黑体"/>
          <w:b/>
          <w:bCs/>
          <w:color w:val="000000"/>
          <w:sz w:val="24"/>
          <w:highlight w:val="none"/>
          <w:lang w:val="en-US" w:eastAsia="zh-CN"/>
        </w:rPr>
        <w:t>投资者</w:t>
      </w:r>
      <w:r>
        <w:rPr>
          <w:rFonts w:hint="eastAsia" w:ascii="宋体" w:hAnsi="宋体" w:eastAsia="宋体" w:cs="黑体"/>
          <w:b/>
          <w:bCs/>
          <w:color w:val="000000"/>
          <w:sz w:val="24"/>
          <w:highlight w:val="none"/>
        </w:rPr>
        <w:t>操作行为（包括但不限于购买、赎回、撤单）的有效证据，并且在</w:t>
      </w:r>
      <w:r>
        <w:rPr>
          <w:rFonts w:hint="eastAsia" w:ascii="宋体" w:hAnsi="宋体" w:eastAsia="宋体" w:cs="黑体"/>
          <w:b/>
          <w:bCs/>
          <w:color w:val="000000"/>
          <w:sz w:val="24"/>
          <w:highlight w:val="none"/>
          <w:lang w:val="en-US" w:eastAsia="zh-CN"/>
        </w:rPr>
        <w:t>双</w:t>
      </w:r>
      <w:r>
        <w:rPr>
          <w:rFonts w:hint="eastAsia" w:ascii="宋体" w:hAnsi="宋体" w:eastAsia="宋体" w:cs="黑体"/>
          <w:b/>
          <w:bCs/>
          <w:color w:val="000000"/>
          <w:sz w:val="24"/>
          <w:highlight w:val="none"/>
        </w:rPr>
        <w:t>方发生争议时可以作为合法有效的证据使用</w:t>
      </w:r>
      <w:r>
        <w:rPr>
          <w:rFonts w:hint="eastAsia" w:ascii="宋体" w:hAnsi="宋体" w:eastAsia="宋体" w:cs="黑体"/>
          <w:color w:val="000000"/>
          <w:sz w:val="24"/>
          <w:highlight w:val="none"/>
          <w:lang w:eastAsia="zh-CN"/>
        </w:rPr>
        <w:t>。</w:t>
      </w:r>
    </w:p>
    <w:p>
      <w:pPr>
        <w:widowControl/>
        <w:numPr>
          <w:ilvl w:val="0"/>
          <w:numId w:val="82"/>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由此产生的后果由投资者自行承担；但因销售机构故意或重大过失造成投资者损失的，销售机构仍应依法承担相应责任。 </w:t>
      </w:r>
    </w:p>
    <w:p>
      <w:pPr>
        <w:widowControl/>
        <w:numPr>
          <w:ilvl w:val="0"/>
          <w:numId w:val="82"/>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在本理财计划存续期内，如有权机关要求销售机构配合对投资者理财份额、理财账户、授权指定账户进行查封、冻结或扣划的，销售机构有权根据实际情况依法采取相应措施。因配合有权机关依法采取前述措施产生的后果，销售机构不承担责任；但因销售机构故意或重大过失造成投资者损失的，销售机构仍应依法承担相应责任。 </w:t>
      </w:r>
    </w:p>
    <w:p>
      <w:pPr>
        <w:widowControl/>
        <w:numPr>
          <w:ilvl w:val="0"/>
          <w:numId w:val="82"/>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本协议终止前，投资者不得将授权指定账户销户。若发生因投资者注销授权指定账户造成理财计划无法正常兑付的，由此产生的后果由投资者自行承担；但因销售机构故意或重大过失造成投资者损失的，销售机构仍应依法承担相应责任。</w:t>
      </w:r>
    </w:p>
    <w:p>
      <w:pPr>
        <w:widowControl/>
        <w:numPr>
          <w:ilvl w:val="0"/>
          <w:numId w:val="82"/>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投资者应确保其提供的所有资料真实、完整、合法、有效，如果有任何变更，投资者应及时通知销售机构并办理变更手续。如因投资者未及时通知销售机构并办理相应的变更手续，由此导致的后果由投资者自行承担；但因销售机构故意或重大过失造成投资者损失的，销售机构仍应依法承担相应责任。 </w:t>
      </w:r>
    </w:p>
    <w:p>
      <w:pPr>
        <w:widowControl/>
        <w:numPr>
          <w:ilvl w:val="0"/>
          <w:numId w:val="82"/>
        </w:numPr>
        <w:spacing w:line="360" w:lineRule="auto"/>
        <w:ind w:left="0" w:leftChars="0" w:firstLine="420" w:firstLineChars="0"/>
        <w:contextualSpacing/>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lang w:val="en-US" w:eastAsia="zh-CN"/>
        </w:rPr>
        <w:t>投资者对因签署、履行本协议所知悉且销售机构已明确提示属于保密范围的销售机构业务资料及非公开信息负有保密义务，未经销售机构书面许可，不得向任何组织、个人提供或泄露，但法律、法规另有规定的除外。</w:t>
      </w:r>
    </w:p>
    <w:p>
      <w:pPr>
        <w:widowControl/>
        <w:numPr>
          <w:ilvl w:val="0"/>
          <w:numId w:val="82"/>
        </w:numPr>
        <w:spacing w:line="360" w:lineRule="auto"/>
        <w:ind w:left="0" w:leftChars="0" w:firstLine="420" w:firstLineChars="0"/>
        <w:contextualSpacing/>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投资者进行投资时，应严格遵守反洗钱相关法规的规定，切实履行反洗钱及反恐怖融资义务。</w:t>
      </w:r>
    </w:p>
    <w:p>
      <w:pPr>
        <w:widowControl/>
        <w:numPr>
          <w:ilvl w:val="0"/>
          <w:numId w:val="82"/>
        </w:numPr>
        <w:spacing w:line="360" w:lineRule="auto"/>
        <w:ind w:left="0" w:leftChars="0" w:firstLine="420" w:firstLineChars="0"/>
        <w:contextualSpacing/>
        <w:outlineLvl w:val="9"/>
        <w:rPr>
          <w:rFonts w:hint="eastAsia" w:ascii="宋体" w:hAnsi="宋体" w:eastAsia="宋体" w:cs="黑体"/>
          <w:b/>
          <w:bCs/>
          <w:color w:val="000000"/>
          <w:sz w:val="24"/>
          <w:highlight w:val="none"/>
          <w:lang w:val="en-US" w:eastAsia="zh-CN"/>
        </w:rPr>
      </w:pPr>
      <w:r>
        <w:rPr>
          <w:rFonts w:hint="eastAsia" w:ascii="宋体" w:hAnsi="宋体" w:eastAsia="宋体" w:cs="黑体"/>
          <w:b/>
          <w:bCs/>
          <w:color w:val="000000"/>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color w:val="000000"/>
          <w:sz w:val="24"/>
          <w:highlight w:val="none"/>
          <w:lang w:val="en-US" w:eastAsia="zh-CN"/>
        </w:rPr>
      </w:pPr>
      <w:r>
        <w:rPr>
          <w:rFonts w:hint="eastAsia" w:ascii="宋体" w:hAnsi="宋体" w:eastAsia="宋体" w:cs="黑体"/>
          <w:b/>
          <w:bCs/>
          <w:color w:val="000000"/>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按照合法、正当、必要原则收集、存储、使用、加工、传输投资者个人信息，处理范围限于实现前述目的所必需的信息，包括个人身份信息、联络方式、财产信息、账户信息、风险偏好与投资目标及法律法规规定的其他必要信息。</w:t>
      </w:r>
    </w:p>
    <w:p>
      <w:pPr>
        <w:widowControl/>
        <w:numPr>
          <w:ilvl w:val="0"/>
          <w:numId w:val="82"/>
        </w:numPr>
        <w:spacing w:line="360" w:lineRule="auto"/>
        <w:ind w:left="0" w:leftChars="0" w:firstLine="420" w:firstLineChars="0"/>
        <w:contextualSpacing/>
        <w:outlineLvl w:val="9"/>
        <w:rPr>
          <w:rFonts w:hint="eastAsia" w:ascii="宋体" w:hAnsi="宋体" w:eastAsia="宋体" w:cs="黑体"/>
          <w:b/>
          <w:bCs/>
          <w:color w:val="000000"/>
          <w:sz w:val="24"/>
          <w:highlight w:val="none"/>
          <w:lang w:val="en-US" w:eastAsia="zh-CN"/>
        </w:rPr>
      </w:pPr>
      <w:r>
        <w:rPr>
          <w:rFonts w:hint="eastAsia" w:ascii="宋体" w:hAnsi="宋体" w:eastAsia="宋体" w:cs="黑体"/>
          <w:b/>
          <w:bCs/>
          <w:color w:val="000000"/>
          <w:sz w:val="24"/>
          <w:highlight w:val="none"/>
          <w:lang w:val="en-US" w:eastAsia="zh-CN"/>
        </w:rPr>
        <w:t>投</w:t>
      </w:r>
      <w:r>
        <w:rPr>
          <w:rFonts w:hint="eastAsia" w:ascii="宋体" w:hAnsi="宋体"/>
          <w:b/>
          <w:bCs/>
          <w:color w:val="000000"/>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9"/>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第三条 </w:t>
      </w:r>
      <w:r>
        <w:rPr>
          <w:rFonts w:hint="eastAsia" w:ascii="Calibri" w:hAnsi="Calibri" w:eastAsia="宋体" w:cs="黑体"/>
          <w:b/>
          <w:bCs/>
          <w:color w:val="000000"/>
          <w:sz w:val="24"/>
          <w:highlight w:val="none"/>
          <w:lang w:val="en-US" w:eastAsia="zh-CN"/>
        </w:rPr>
        <w:t>销售机构的权利与义务</w:t>
      </w:r>
    </w:p>
    <w:p>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b/>
          <w:bCs/>
          <w:color w:val="000000"/>
          <w:sz w:val="24"/>
          <w:highlight w:val="none"/>
          <w:lang w:val="en-US" w:eastAsia="zh-CN"/>
        </w:rPr>
        <w:t>代理销售机构非本计划的发行、管理机构，对本计划的业绩不承担任何保证和其他经济责任，不承担本计划的投资和兑付管理责任</w:t>
      </w:r>
      <w:r>
        <w:rPr>
          <w:rFonts w:hint="eastAsia" w:ascii="宋体" w:hAnsi="宋体" w:eastAsia="宋体" w:cs="黑体"/>
          <w:color w:val="000000"/>
          <w:sz w:val="24"/>
          <w:highlight w:val="none"/>
          <w:lang w:val="en-US" w:eastAsia="zh-CN"/>
        </w:rPr>
        <w:t>。</w:t>
      </w:r>
    </w:p>
    <w:p>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销售机构应定期对购买其代理销售的理财计划的普通投资者进行有效风险承受能力评估，并保证向投资者推介及销售与其风险承受能力匹配的产品。</w:t>
      </w:r>
    </w:p>
    <w:p>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销售机构对投资者负有信息保密义务，未经投资者书面许可，销售机构不得向任何组织、个人提供或泄露与投资者有关的业务资料及信息，但法律、法规、监管机构另有规定的除外。</w:t>
      </w:r>
    </w:p>
    <w:p>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77"/>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77"/>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77"/>
        </w:numPr>
        <w:kinsoku/>
        <w:wordWrap/>
        <w:overflowPunct/>
        <w:topLinePunct w:val="0"/>
        <w:autoSpaceDE/>
        <w:autoSpaceDN/>
        <w:bidi w:val="0"/>
        <w:adjustRightInd/>
        <w:snapToGrid/>
        <w:spacing w:line="360" w:lineRule="auto"/>
        <w:ind w:firstLine="420"/>
        <w:contextualSpacing/>
        <w:jc w:val="left"/>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9"/>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第四条 </w:t>
      </w:r>
      <w:r>
        <w:rPr>
          <w:rFonts w:hint="eastAsia" w:ascii="Calibri" w:hAnsi="Calibri" w:eastAsia="宋体" w:cs="黑体"/>
          <w:b/>
          <w:bCs/>
          <w:color w:val="000000"/>
          <w:sz w:val="24"/>
          <w:highlight w:val="none"/>
          <w:lang w:val="en-US" w:eastAsia="zh-CN"/>
        </w:rPr>
        <w:t>理财计划认（申）购、赎回及终止</w:t>
      </w:r>
    </w:p>
    <w:p>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理财计划认/申购办理流程：参照投资者权益须知约定。 </w:t>
      </w:r>
    </w:p>
    <w:p>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理财计划认/申购确认：管理人根据</w:t>
      </w:r>
      <w:r>
        <w:rPr>
          <w:rFonts w:hint="eastAsia" w:ascii="宋体" w:hAnsi="宋体" w:eastAsia="宋体" w:cs="黑体"/>
          <w:color w:val="000000"/>
          <w:sz w:val="24"/>
          <w:highlight w:val="none"/>
          <w:lang w:eastAsia="zh-CN"/>
        </w:rPr>
        <w:t>销售</w:t>
      </w:r>
      <w:r>
        <w:rPr>
          <w:rFonts w:hint="eastAsia" w:ascii="宋体" w:hAnsi="宋体" w:eastAsia="宋体" w:cs="黑体"/>
          <w:color w:val="000000"/>
          <w:sz w:val="24"/>
          <w:highlight w:val="none"/>
        </w:rPr>
        <w:t>渠道提供的交易信息及资金划付对投资者相应认/申购进行确认。</w:t>
      </w:r>
    </w:p>
    <w:p>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理财计划赎回/终止兑付：在正常情况下，管理人和</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产品说明书约定管理人对理财计划进行延期或转换时，</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将于原约定清算日前通过信息披露途径及时通知，并根据实际情况进行后续处理。</w:t>
      </w:r>
    </w:p>
    <w:p>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资金清算：理财计划终止或份额赎回时，管理人按理财计划合同约定划付至</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清算账户后，由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向投资者划付投资者应得资金。如因投资者清算账户余额不足，或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未及时足额划付资金，或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清算账户内资金被依法冻结或扣划，或</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清算账户处于被挂失、冻结、注销或其他非正常状态等原因而导致交易失败</w:t>
      </w:r>
      <w:r>
        <w:rPr>
          <w:rFonts w:hint="eastAsia" w:ascii="宋体" w:hAnsi="宋体" w:eastAsia="宋体" w:cs="黑体"/>
          <w:color w:val="000000"/>
          <w:sz w:val="24"/>
          <w:highlight w:val="none"/>
          <w:lang w:eastAsia="zh-CN"/>
        </w:rPr>
        <w:t>，</w:t>
      </w:r>
      <w:r>
        <w:rPr>
          <w:rFonts w:hint="eastAsia" w:ascii="宋体" w:hAnsi="宋体" w:eastAsia="宋体" w:cs="黑体"/>
          <w:color w:val="000000"/>
          <w:sz w:val="24"/>
          <w:highlight w:val="none"/>
        </w:rPr>
        <w:t>对于因上述原因导致的交易失败可能带来的任何损失及预期损失，投资者须自行承担或向</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leftChars="85" w:firstLine="0" w:firstLineChars="0"/>
        <w:contextualSpacing/>
        <w:textAlignment w:val="auto"/>
        <w:rPr>
          <w:rFonts w:hint="eastAsia"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9"/>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第五条 </w:t>
      </w:r>
      <w:r>
        <w:rPr>
          <w:rFonts w:hint="eastAsia" w:ascii="Calibri" w:hAnsi="Calibri" w:eastAsia="宋体" w:cs="黑体"/>
          <w:b/>
          <w:bCs/>
          <w:color w:val="000000"/>
          <w:sz w:val="24"/>
          <w:highlight w:val="none"/>
          <w:lang w:val="en-US" w:eastAsia="zh-CN"/>
        </w:rPr>
        <w:t>违约责任及免责条款</w:t>
      </w:r>
    </w:p>
    <w:p>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若因投资者原因导致司法或行政等有权机关采取强制措施对其理财本金、收益进行部分或全部扣划的，管理人或销售机构有权根据产品运作和法律法规要求对相应理财份额办理部分或全部提前终止或采取其他必要处置措施，本协议相应终止。因前述情形产生的损失及相关费用由投资者承担；理财收益按照实际运作情况计算和分配，不计付存款利息。</w:t>
      </w:r>
    </w:p>
    <w:p>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投资者违反本协议第二条内容，应承担相应违约责任。销售机构对由此导致的理财业务交易延误、中断、终止及投资者损失不承担任何责任，并有权终止双方理财业务关系。因</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违反双方约定给</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或全体投资者造成损失的，</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应承担相应的赔偿责任。</w:t>
      </w:r>
    </w:p>
    <w:p>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若由于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过错导致理财计划资产发生损失，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应按其过错承担赔偿责任，</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赔偿的款项计入理财计划的资产和收益。</w:t>
      </w:r>
    </w:p>
    <w:p>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由于地震、火灾、战争等不可抗力或突发重大卫生公共事件等不可预测事件造成的交易中断、延误等风险及损失，</w:t>
      </w:r>
      <w:r>
        <w:rPr>
          <w:rFonts w:hint="eastAsia" w:ascii="宋体" w:hAnsi="宋体" w:eastAsia="宋体" w:cs="黑体"/>
          <w:color w:val="000000"/>
          <w:sz w:val="24"/>
          <w:highlight w:val="none"/>
          <w:lang w:eastAsia="zh-CN"/>
        </w:rPr>
        <w:t>销售机构</w:t>
      </w:r>
      <w:r>
        <w:rPr>
          <w:rFonts w:hint="eastAsia" w:ascii="宋体" w:hAnsi="宋体" w:eastAsia="宋体" w:cs="黑体"/>
          <w:color w:val="000000"/>
          <w:sz w:val="24"/>
          <w:highlight w:val="none"/>
        </w:rPr>
        <w:t>不承担责任；但</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应在上述情况发生</w:t>
      </w:r>
      <w:r>
        <w:rPr>
          <w:rFonts w:hint="eastAsia" w:ascii="宋体" w:hAnsi="宋体" w:eastAsia="宋体" w:cs="黑体"/>
          <w:color w:val="000000"/>
          <w:sz w:val="24"/>
          <w:highlight w:val="none"/>
          <w:lang w:eastAsia="zh-CN"/>
        </w:rPr>
        <w:t>后</w:t>
      </w:r>
      <w:r>
        <w:rPr>
          <w:rFonts w:hint="eastAsia" w:ascii="宋体" w:hAnsi="宋体" w:eastAsia="宋体" w:cs="黑体"/>
          <w:color w:val="000000"/>
          <w:sz w:val="24"/>
          <w:highlight w:val="none"/>
        </w:rPr>
        <w:t>在条件允许时及时通知</w:t>
      </w:r>
      <w:r>
        <w:rPr>
          <w:rFonts w:hint="eastAsia" w:ascii="宋体" w:hAnsi="宋体" w:eastAsia="宋体" w:cs="黑体"/>
          <w:color w:val="000000"/>
          <w:sz w:val="24"/>
          <w:highlight w:val="none"/>
          <w:lang w:eastAsia="zh-CN"/>
        </w:rPr>
        <w:t>投资者</w:t>
      </w:r>
      <w:r>
        <w:rPr>
          <w:rFonts w:hint="eastAsia" w:ascii="宋体" w:hAnsi="宋体" w:eastAsia="宋体" w:cs="黑体"/>
          <w:color w:val="000000"/>
          <w:sz w:val="24"/>
          <w:highlight w:val="none"/>
        </w:rPr>
        <w:t>并采取一切必要且可能的措施阻止损失扩大。</w:t>
      </w:r>
    </w:p>
    <w:p>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因国家有关法律、法规、规章、政策的修改或新的法律、法规、规章、政策颁布以及紧急措施的出台导致的风险及损失，</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color w:val="000000"/>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9"/>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第六条 </w:t>
      </w:r>
      <w:r>
        <w:rPr>
          <w:rFonts w:hint="eastAsia" w:ascii="Calibri" w:hAnsi="Calibri" w:eastAsia="宋体" w:cs="黑体"/>
          <w:b/>
          <w:bCs/>
          <w:color w:val="000000"/>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任何一方均有权向被告住所地有管辖权的人民法院提起诉讼。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9"/>
        <w:rPr>
          <w:rFonts w:hint="eastAsia" w:ascii="Calibri" w:hAnsi="Calibri" w:eastAsia="宋体" w:cs="黑体"/>
          <w:b/>
          <w:bCs/>
          <w:color w:val="000000"/>
          <w:sz w:val="24"/>
          <w:highlight w:val="none"/>
          <w:lang w:val="en-US" w:eastAsia="zh-CN"/>
        </w:rPr>
      </w:pPr>
      <w:r>
        <w:rPr>
          <w:rFonts w:hint="eastAsia" w:eastAsia="宋体" w:cs="黑体"/>
          <w:b/>
          <w:bCs/>
          <w:color w:val="000000"/>
          <w:sz w:val="24"/>
          <w:highlight w:val="none"/>
          <w:lang w:val="en-US" w:eastAsia="zh-CN"/>
        </w:rPr>
        <w:t xml:space="preserve">第七条 </w:t>
      </w:r>
      <w:r>
        <w:rPr>
          <w:rFonts w:hint="eastAsia" w:ascii="Calibri" w:hAnsi="Calibri" w:eastAsia="宋体" w:cs="黑体"/>
          <w:b/>
          <w:bCs/>
          <w:color w:val="000000"/>
          <w:sz w:val="24"/>
          <w:highlight w:val="none"/>
          <w:lang w:val="en-US" w:eastAsia="zh-CN"/>
        </w:rPr>
        <w:t>协议生效和终止</w:t>
      </w:r>
    </w:p>
    <w:p>
      <w:pPr>
        <w:keepNext w:val="0"/>
        <w:keepLines w:val="0"/>
        <w:pageBreakBefore w:val="0"/>
        <w:widowControl/>
        <w:numPr>
          <w:ilvl w:val="0"/>
          <w:numId w:val="86"/>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 xml:space="preserve">双方认可本协议可以纸质或电子数据等形式提交、订立或确认。 </w:t>
      </w:r>
    </w:p>
    <w:p>
      <w:pPr>
        <w:keepNext w:val="0"/>
        <w:keepLines w:val="0"/>
        <w:pageBreakBefore w:val="0"/>
        <w:widowControl/>
        <w:numPr>
          <w:ilvl w:val="0"/>
          <w:numId w:val="8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本协议书</w:t>
      </w:r>
      <w:r>
        <w:rPr>
          <w:rFonts w:hint="eastAsia" w:ascii="宋体" w:hAnsi="宋体"/>
          <w:color w:val="000000"/>
          <w:sz w:val="24"/>
          <w:highlight w:val="none"/>
        </w:rPr>
        <w:t>以纸质书面形式订立的，自投资者签</w:t>
      </w:r>
      <w:r>
        <w:rPr>
          <w:rFonts w:hint="eastAsia" w:ascii="宋体" w:hAnsi="宋体"/>
          <w:color w:val="000000"/>
          <w:sz w:val="24"/>
          <w:highlight w:val="none"/>
          <w:lang w:val="en-US" w:eastAsia="zh-CN"/>
        </w:rPr>
        <w:t>署（如投资者为个人，应签字；如投资者为机构，应法定代表人或授权代理人签字或盖章并加盖公章或有效授权印章）</w:t>
      </w:r>
      <w:r>
        <w:rPr>
          <w:rFonts w:hint="eastAsia" w:ascii="宋体" w:hAnsi="宋体"/>
          <w:color w:val="000000"/>
          <w:sz w:val="24"/>
          <w:highlight w:val="none"/>
        </w:rPr>
        <w:t>和</w:t>
      </w:r>
      <w:r>
        <w:rPr>
          <w:rFonts w:hint="eastAsia" w:ascii="宋体" w:hAnsi="宋体"/>
          <w:color w:val="000000"/>
          <w:sz w:val="24"/>
          <w:highlight w:val="none"/>
          <w:lang w:eastAsia="zh-CN"/>
        </w:rPr>
        <w:t>销售机构</w:t>
      </w:r>
      <w:r>
        <w:rPr>
          <w:rFonts w:hint="eastAsia" w:ascii="宋体" w:hAnsi="宋体"/>
          <w:color w:val="000000"/>
          <w:sz w:val="24"/>
          <w:highlight w:val="none"/>
        </w:rPr>
        <w:t>签章之后立即生效。协议一式叁份，投资者、管理人和</w:t>
      </w:r>
      <w:r>
        <w:rPr>
          <w:rFonts w:hint="eastAsia" w:ascii="宋体" w:hAnsi="宋体"/>
          <w:color w:val="000000"/>
          <w:sz w:val="24"/>
          <w:highlight w:val="none"/>
          <w:lang w:eastAsia="zh-CN"/>
        </w:rPr>
        <w:t>销售机构</w:t>
      </w:r>
      <w:r>
        <w:rPr>
          <w:rFonts w:hint="eastAsia" w:ascii="宋体" w:hAnsi="宋体"/>
          <w:color w:val="000000"/>
          <w:sz w:val="24"/>
          <w:highlight w:val="none"/>
        </w:rPr>
        <w:t>各执壹份，具有同等法律效力。</w:t>
      </w:r>
    </w:p>
    <w:p>
      <w:pPr>
        <w:keepNext w:val="0"/>
        <w:keepLines w:val="0"/>
        <w:pageBreakBefore w:val="0"/>
        <w:widowControl/>
        <w:numPr>
          <w:ilvl w:val="0"/>
          <w:numId w:val="8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本协议书以数据电文形式订立的，投资者在销售机构的电子银行渠道（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87"/>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lang w:val="en-US" w:eastAsia="zh-CN"/>
        </w:rPr>
      </w:pPr>
      <w:r>
        <w:rPr>
          <w:rFonts w:hint="eastAsia" w:ascii="宋体" w:hAnsi="宋体" w:eastAsia="宋体" w:cs="黑体"/>
          <w:color w:val="000000"/>
          <w:sz w:val="24"/>
          <w:highlight w:val="none"/>
        </w:rPr>
        <w:t>投资者和</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color w:val="000000"/>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9"/>
        <w:rPr>
          <w:rFonts w:hint="eastAsia" w:ascii="Calibri" w:hAnsi="Calibri" w:eastAsia="宋体" w:cs="黑体"/>
          <w:b/>
          <w:bCs w:val="0"/>
          <w:color w:val="000000"/>
          <w:sz w:val="24"/>
          <w:highlight w:val="none"/>
          <w:lang w:val="en-US" w:eastAsia="zh-CN"/>
        </w:rPr>
      </w:pPr>
      <w:r>
        <w:rPr>
          <w:rFonts w:hint="eastAsia" w:eastAsia="宋体" w:cs="黑体"/>
          <w:b/>
          <w:bCs w:val="0"/>
          <w:color w:val="000000"/>
          <w:sz w:val="24"/>
          <w:highlight w:val="none"/>
          <w:lang w:val="en-US" w:eastAsia="zh-CN"/>
        </w:rPr>
        <w:t xml:space="preserve">第八条 </w:t>
      </w:r>
      <w:r>
        <w:rPr>
          <w:rFonts w:hint="eastAsia" w:ascii="Calibri" w:hAnsi="Calibri" w:eastAsia="宋体" w:cs="黑体"/>
          <w:b/>
          <w:bCs w:val="0"/>
          <w:color w:val="000000"/>
          <w:sz w:val="24"/>
          <w:highlight w:val="none"/>
          <w:lang w:val="en-US" w:eastAsia="zh-CN"/>
        </w:rPr>
        <w:t xml:space="preserve">附则 </w:t>
      </w:r>
    </w:p>
    <w:p>
      <w:pPr>
        <w:keepNext w:val="0"/>
        <w:keepLines w:val="0"/>
        <w:pageBreakBefore w:val="0"/>
        <w:widowControl/>
        <w:numPr>
          <w:ilvl w:val="0"/>
          <w:numId w:val="8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如果投资者与</w:t>
      </w:r>
      <w:r>
        <w:rPr>
          <w:rFonts w:hint="eastAsia" w:ascii="宋体" w:hAnsi="宋体" w:eastAsia="宋体" w:cs="黑体"/>
          <w:color w:val="000000"/>
          <w:sz w:val="24"/>
          <w:highlight w:val="none"/>
          <w:lang w:val="en-US" w:eastAsia="zh-CN"/>
        </w:rPr>
        <w:t>销售机构</w:t>
      </w:r>
      <w:r>
        <w:rPr>
          <w:rFonts w:hint="eastAsia" w:ascii="宋体" w:hAnsi="宋体" w:eastAsia="宋体" w:cs="黑体"/>
          <w:color w:val="000000"/>
          <w:sz w:val="24"/>
          <w:highlight w:val="none"/>
        </w:rPr>
        <w:t>之间存在多份理财计划</w:t>
      </w:r>
      <w:r>
        <w:rPr>
          <w:rFonts w:hint="eastAsia" w:ascii="宋体" w:hAnsi="宋体" w:eastAsia="宋体" w:cs="黑体"/>
          <w:color w:val="000000"/>
          <w:sz w:val="24"/>
          <w:highlight w:val="none"/>
          <w:lang w:val="en-US" w:eastAsia="zh-CN"/>
        </w:rPr>
        <w:t>销售</w:t>
      </w:r>
      <w:r>
        <w:rPr>
          <w:rFonts w:hint="eastAsia" w:ascii="宋体" w:hAnsi="宋体" w:eastAsia="宋体" w:cs="黑体"/>
          <w:color w:val="000000"/>
          <w:sz w:val="24"/>
          <w:highlight w:val="none"/>
        </w:rPr>
        <w:t>协议书，则每一协议书分别与其所对应的</w:t>
      </w:r>
      <w:r>
        <w:rPr>
          <w:rFonts w:hint="eastAsia" w:ascii="宋体" w:hAnsi="宋体" w:eastAsia="宋体" w:cs="黑体"/>
          <w:color w:val="000000"/>
          <w:sz w:val="24"/>
          <w:highlight w:val="none"/>
          <w:lang w:val="en-US" w:eastAsia="zh-CN"/>
        </w:rPr>
        <w:t>理财计划</w:t>
      </w:r>
      <w:r>
        <w:rPr>
          <w:rFonts w:hint="eastAsia" w:ascii="宋体" w:hAnsi="宋体" w:eastAsia="宋体" w:cs="黑体"/>
          <w:color w:val="000000"/>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8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88"/>
        </w:numPr>
        <w:kinsoku/>
        <w:wordWrap/>
        <w:overflowPunct/>
        <w:topLinePunct w:val="0"/>
        <w:autoSpaceDE/>
        <w:autoSpaceDN/>
        <w:bidi w:val="0"/>
        <w:adjustRightInd/>
        <w:snapToGrid/>
        <w:spacing w:line="360" w:lineRule="auto"/>
        <w:ind w:left="0" w:leftChars="0" w:firstLine="420" w:firstLineChars="0"/>
        <w:contextualSpacing/>
        <w:textAlignment w:val="auto"/>
        <w:outlineLvl w:val="9"/>
        <w:rPr>
          <w:rFonts w:hint="eastAsia" w:ascii="宋体" w:hAnsi="宋体" w:eastAsia="宋体" w:cs="黑体"/>
          <w:color w:val="000000"/>
          <w:sz w:val="24"/>
          <w:highlight w:val="none"/>
        </w:rPr>
      </w:pPr>
      <w:r>
        <w:rPr>
          <w:rFonts w:hint="eastAsia" w:ascii="宋体" w:hAnsi="宋体" w:eastAsia="宋体" w:cs="黑体"/>
          <w:color w:val="000000"/>
          <w:sz w:val="24"/>
          <w:highlight w:val="none"/>
        </w:rPr>
        <w:t>在理财计划存续期内，如因监管政策或法律法规发生变化，在不损害投资者利益的前提下，管理人有权对理财计划合同销售文件进行修订。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color w:val="000000"/>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highlight w:val="none"/>
          <w:lang w:val="en-US" w:eastAsia="zh-CN"/>
        </w:rPr>
      </w:pPr>
    </w:p>
    <w:p>
      <w:pPr>
        <w:widowControl/>
        <w:spacing w:line="360" w:lineRule="auto"/>
        <w:jc w:val="right"/>
        <w:rPr>
          <w:rFonts w:hint="eastAsia" w:ascii="宋体" w:hAnsi="宋体" w:eastAsia="宋体" w:cs="黑体"/>
          <w:b w:val="0"/>
          <w:bCs w:val="0"/>
          <w:color w:val="000000"/>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杭银理财有限责任公司</w:t>
      </w:r>
    </w:p>
    <w:p>
      <w:pPr>
        <w:rPr>
          <w:rFonts w:hint="eastAsia" w:ascii="宋体" w:hAnsi="宋体" w:eastAsia="宋体" w:cs="黑体"/>
          <w:b w:val="0"/>
          <w:bCs w:val="0"/>
          <w:color w:val="00000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br w:type="page"/>
      </w:r>
    </w:p>
    <w:p>
      <w:pPr>
        <w:rPr>
          <w:rFonts w:hint="default" w:ascii="宋体" w:hAnsi="宋体" w:eastAsia="宋体" w:cs="黑体"/>
          <w:b w:val="0"/>
          <w:bCs w:val="0"/>
          <w:color w:val="000000"/>
          <w:sz w:val="24"/>
          <w:szCs w:val="24"/>
          <w:highlight w:val="none"/>
          <w:lang w:val="en-US" w:eastAsia="zh-CN"/>
        </w:rPr>
      </w:pPr>
      <w:r>
        <w:rPr>
          <w:rFonts w:hint="eastAsia" w:ascii="宋体" w:hAnsi="宋体" w:eastAsia="宋体" w:cs="黑体"/>
          <w:b w:val="0"/>
          <w:bCs w:val="0"/>
          <w:color w:val="000000"/>
          <w:sz w:val="24"/>
          <w:szCs w:val="24"/>
          <w:highlight w:val="none"/>
          <w:lang w:val="en-US" w:eastAsia="zh-CN"/>
        </w:rPr>
        <w:t>本页为</w:t>
      </w:r>
      <w:r>
        <w:rPr>
          <w:rFonts w:hint="eastAsia" w:ascii="宋体" w:hAnsi="宋体" w:eastAsia="宋体" w:cs="黑体"/>
          <w:b w:val="0"/>
          <w:bCs w:val="0"/>
          <w:color w:val="000000"/>
          <w:sz w:val="24"/>
          <w:szCs w:val="24"/>
          <w:highlight w:val="none"/>
        </w:rPr>
        <w:t>纸质</w:t>
      </w:r>
      <w:r>
        <w:rPr>
          <w:rFonts w:hint="eastAsia" w:ascii="宋体" w:hAnsi="宋体" w:eastAsia="宋体" w:cs="黑体"/>
          <w:b w:val="0"/>
          <w:bCs w:val="0"/>
          <w:color w:val="00000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000000"/>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highlight w:val="none"/>
          <w:lang w:eastAsia="zh-CN"/>
        </w:rPr>
      </w:pPr>
      <w:r>
        <w:rPr>
          <w:rFonts w:hint="eastAsia" w:ascii="宋体" w:hAnsi="宋体" w:eastAsia="宋体" w:cs="黑体"/>
          <w:b/>
          <w:bCs/>
          <w:color w:val="000000"/>
          <w:sz w:val="24"/>
          <w:highlight w:val="none"/>
        </w:rPr>
        <w:t>投资者</w:t>
      </w:r>
      <w:r>
        <w:rPr>
          <w:rFonts w:hint="eastAsia" w:ascii="宋体" w:hAnsi="宋体" w:eastAsia="宋体" w:cs="黑体"/>
          <w:b/>
          <w:bCs/>
          <w:color w:val="000000"/>
          <w:sz w:val="24"/>
          <w:highlight w:val="none"/>
          <w:lang w:eastAsia="zh-CN"/>
        </w:rPr>
        <w:t>（</w:t>
      </w:r>
      <w:r>
        <w:rPr>
          <w:rFonts w:hint="eastAsia" w:ascii="宋体" w:hAnsi="宋体" w:eastAsia="宋体" w:cs="黑体"/>
          <w:b/>
          <w:bCs/>
          <w:color w:val="000000"/>
          <w:sz w:val="24"/>
          <w:highlight w:val="none"/>
        </w:rPr>
        <w:t>签字</w:t>
      </w:r>
      <w:r>
        <w:rPr>
          <w:rFonts w:hint="eastAsia" w:ascii="宋体" w:hAnsi="宋体" w:eastAsia="宋体" w:cs="黑体"/>
          <w:b/>
          <w:bCs/>
          <w:color w:val="000000"/>
          <w:sz w:val="24"/>
          <w:highlight w:val="none"/>
          <w:lang w:eastAsia="zh-CN"/>
        </w:rPr>
        <w:t>或签章）</w:t>
      </w:r>
      <w:r>
        <w:rPr>
          <w:rFonts w:hint="eastAsia" w:ascii="宋体" w:hAnsi="宋体" w:eastAsia="宋体" w:cs="黑体"/>
          <w:b/>
          <w:bCs/>
          <w:color w:val="000000"/>
          <w:sz w:val="24"/>
          <w:szCs w:val="24"/>
          <w:highlight w:val="none"/>
          <w:lang w:eastAsia="zh-CN"/>
        </w:rPr>
        <w:t>：</w:t>
      </w:r>
    </w:p>
    <w:p>
      <w:pPr>
        <w:spacing w:before="156" w:beforeLines="50" w:after="156" w:afterLines="50" w:line="360" w:lineRule="auto"/>
        <w:ind w:firstLine="4800" w:firstLineChars="2000"/>
        <w:jc w:val="right"/>
        <w:rPr>
          <w:rFonts w:hint="eastAsia" w:ascii="Arial" w:hAnsi="Arial"/>
          <w:color w:val="000000"/>
          <w:sz w:val="24"/>
          <w:highlight w:val="none"/>
        </w:rPr>
      </w:pPr>
      <w:r>
        <w:rPr>
          <w:rFonts w:hint="eastAsia" w:ascii="Arial" w:hAnsi="Arial"/>
          <w:color w:val="000000"/>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r>
        <w:rPr>
          <w:rFonts w:hint="eastAsia" w:ascii="宋体" w:hAnsi="宋体" w:eastAsia="宋体" w:cs="黑体"/>
          <w:b/>
          <w:bCs/>
          <w:color w:val="000000"/>
          <w:sz w:val="24"/>
          <w:highlight w:val="none"/>
        </w:rPr>
        <w:t>销售机构签章</w:t>
      </w:r>
      <w:r>
        <w:rPr>
          <w:rFonts w:hint="eastAsia" w:ascii="宋体" w:hAnsi="宋体" w:eastAsia="宋体" w:cs="黑体"/>
          <w:b/>
          <w:bCs/>
          <w:color w:val="000000"/>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color w:val="000000"/>
          <w:sz w:val="24"/>
          <w:szCs w:val="24"/>
          <w:highlight w:val="none"/>
          <w:lang w:eastAsia="zh-CN"/>
        </w:rPr>
      </w:pPr>
    </w:p>
    <w:p>
      <w:pPr>
        <w:spacing w:before="156" w:beforeLines="50" w:after="156" w:afterLines="50" w:line="360" w:lineRule="auto"/>
        <w:ind w:firstLine="4800" w:firstLineChars="2000"/>
        <w:jc w:val="right"/>
        <w:rPr>
          <w:rFonts w:ascii="宋体" w:hAnsi="宋体" w:cs="宋体"/>
          <w:bCs/>
          <w:color w:val="000000"/>
          <w:sz w:val="24"/>
          <w:highlight w:val="none"/>
        </w:rPr>
      </w:pPr>
      <w:r>
        <w:rPr>
          <w:rFonts w:hint="eastAsia" w:ascii="Arial" w:hAnsi="Arial"/>
          <w:color w:val="000000"/>
          <w:sz w:val="24"/>
          <w:highlight w:val="none"/>
        </w:rPr>
        <w:t xml:space="preserve">   年   月   日</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2">
    <w:nsid w:val="85460E80"/>
    <w:multiLevelType w:val="singleLevel"/>
    <w:tmpl w:val="85460E80"/>
    <w:lvl w:ilvl="0" w:tentative="0">
      <w:start w:val="1"/>
      <w:numFmt w:val="decimal"/>
      <w:suff w:val="nothing"/>
      <w:lvlText w:val="（%1）"/>
      <w:lvlJc w:val="left"/>
      <w:rPr>
        <w:rFonts w:hint="default"/>
        <w:b w:val="0"/>
        <w:bCs w:val="0"/>
      </w:rPr>
    </w:lvl>
  </w:abstractNum>
  <w:abstractNum w:abstractNumId="3">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4">
    <w:nsid w:val="8906C252"/>
    <w:multiLevelType w:val="singleLevel"/>
    <w:tmpl w:val="8906C252"/>
    <w:lvl w:ilvl="0" w:tentative="0">
      <w:start w:val="1"/>
      <w:numFmt w:val="decimal"/>
      <w:suff w:val="nothing"/>
      <w:lvlText w:val="（%1）"/>
      <w:lvlJc w:val="left"/>
      <w:rPr>
        <w:rFonts w:hint="default"/>
        <w:b w:val="0"/>
        <w:bCs w:val="0"/>
      </w:rPr>
    </w:lvl>
  </w:abstractNum>
  <w:abstractNum w:abstractNumId="5">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6">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7">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8">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9">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1">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2">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3">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4">
    <w:nsid w:val="AC40BB97"/>
    <w:multiLevelType w:val="singleLevel"/>
    <w:tmpl w:val="AC40BB97"/>
    <w:lvl w:ilvl="0" w:tentative="0">
      <w:start w:val="1"/>
      <w:numFmt w:val="chineseCounting"/>
      <w:suff w:val="nothing"/>
      <w:lvlText w:val="%1、"/>
      <w:lvlJc w:val="left"/>
      <w:rPr>
        <w:rFonts w:hint="eastAsia"/>
      </w:rPr>
    </w:lvl>
  </w:abstractNum>
  <w:abstractNum w:abstractNumId="15">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6">
    <w:nsid w:val="B08226EF"/>
    <w:multiLevelType w:val="singleLevel"/>
    <w:tmpl w:val="B08226EF"/>
    <w:lvl w:ilvl="0" w:tentative="0">
      <w:start w:val="1"/>
      <w:numFmt w:val="chineseCounting"/>
      <w:suff w:val="space"/>
      <w:lvlText w:val="第%1条"/>
      <w:lvlJc w:val="left"/>
      <w:rPr>
        <w:rFonts w:hint="eastAsia"/>
      </w:rPr>
    </w:lvl>
  </w:abstractNum>
  <w:abstractNum w:abstractNumId="17">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8">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9">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20">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21">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22">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3">
    <w:nsid w:val="D8D75090"/>
    <w:multiLevelType w:val="singleLevel"/>
    <w:tmpl w:val="D8D75090"/>
    <w:lvl w:ilvl="0" w:tentative="0">
      <w:start w:val="1"/>
      <w:numFmt w:val="decimal"/>
      <w:suff w:val="nothing"/>
      <w:lvlText w:val="（%1）"/>
      <w:lvlJc w:val="left"/>
      <w:rPr>
        <w:rFonts w:hint="default"/>
        <w:b w:val="0"/>
        <w:bCs w:val="0"/>
      </w:rPr>
    </w:lvl>
  </w:abstractNum>
  <w:abstractNum w:abstractNumId="24">
    <w:nsid w:val="DD2251DF"/>
    <w:multiLevelType w:val="singleLevel"/>
    <w:tmpl w:val="DD2251DF"/>
    <w:lvl w:ilvl="0" w:tentative="0">
      <w:start w:val="1"/>
      <w:numFmt w:val="decimal"/>
      <w:suff w:val="nothing"/>
      <w:lvlText w:val="（%1）"/>
      <w:lvlJc w:val="left"/>
      <w:rPr>
        <w:rFonts w:hint="default"/>
        <w:b w:val="0"/>
        <w:bCs w:val="0"/>
      </w:rPr>
    </w:lvl>
  </w:abstractNum>
  <w:abstractNum w:abstractNumId="25">
    <w:nsid w:val="DF5E00BB"/>
    <w:multiLevelType w:val="singleLevel"/>
    <w:tmpl w:val="DF5E00BB"/>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7">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8">
    <w:nsid w:val="E70DF796"/>
    <w:multiLevelType w:val="singleLevel"/>
    <w:tmpl w:val="E70DF796"/>
    <w:lvl w:ilvl="0" w:tentative="0">
      <w:start w:val="1"/>
      <w:numFmt w:val="decimal"/>
      <w:suff w:val="nothing"/>
      <w:lvlText w:val="（%1）"/>
      <w:lvlJc w:val="left"/>
    </w:lvl>
  </w:abstractNum>
  <w:abstractNum w:abstractNumId="29">
    <w:nsid w:val="EFF37F09"/>
    <w:multiLevelType w:val="singleLevel"/>
    <w:tmpl w:val="EFF37F09"/>
    <w:lvl w:ilvl="0" w:tentative="0">
      <w:start w:val="1"/>
      <w:numFmt w:val="decimal"/>
      <w:suff w:val="nothing"/>
      <w:lvlText w:val="（%1）"/>
      <w:lvlJc w:val="left"/>
      <w:rPr>
        <w:rFonts w:hint="default"/>
        <w:b w:val="0"/>
        <w:bCs w:val="0"/>
      </w:rPr>
    </w:lvl>
  </w:abstractNum>
  <w:abstractNum w:abstractNumId="30">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31">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32">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33">
    <w:nsid w:val="F574F5B6"/>
    <w:multiLevelType w:val="singleLevel"/>
    <w:tmpl w:val="F574F5B6"/>
    <w:lvl w:ilvl="0" w:tentative="0">
      <w:start w:val="1"/>
      <w:numFmt w:val="decimal"/>
      <w:suff w:val="nothing"/>
      <w:lvlText w:val="（%1）"/>
      <w:lvlJc w:val="left"/>
    </w:lvl>
  </w:abstractNum>
  <w:abstractNum w:abstractNumId="34">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5">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6">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7">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8">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9">
    <w:nsid w:val="084A6179"/>
    <w:multiLevelType w:val="singleLevel"/>
    <w:tmpl w:val="084A6179"/>
    <w:lvl w:ilvl="0" w:tentative="0">
      <w:start w:val="1"/>
      <w:numFmt w:val="decimal"/>
      <w:suff w:val="nothing"/>
      <w:lvlText w:val="（%1）"/>
      <w:lvlJc w:val="left"/>
      <w:rPr>
        <w:rFonts w:hint="default"/>
        <w:highlight w:val="none"/>
      </w:rPr>
    </w:lvl>
  </w:abstractNum>
  <w:abstractNum w:abstractNumId="40">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1">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42">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43">
    <w:nsid w:val="167B0BB4"/>
    <w:multiLevelType w:val="singleLevel"/>
    <w:tmpl w:val="167B0BB4"/>
    <w:lvl w:ilvl="0" w:tentative="0">
      <w:start w:val="1"/>
      <w:numFmt w:val="decimal"/>
      <w:suff w:val="nothing"/>
      <w:lvlText w:val="（%1）"/>
      <w:lvlJc w:val="left"/>
    </w:lvl>
  </w:abstractNum>
  <w:abstractNum w:abstractNumId="44">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45">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6">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47">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8">
    <w:nsid w:val="2CB63BE6"/>
    <w:multiLevelType w:val="singleLevel"/>
    <w:tmpl w:val="2CB63BE6"/>
    <w:lvl w:ilvl="0" w:tentative="0">
      <w:start w:val="1"/>
      <w:numFmt w:val="decimal"/>
      <w:suff w:val="nothing"/>
      <w:lvlText w:val="（%1）"/>
      <w:lvlJc w:val="left"/>
      <w:rPr>
        <w:rFonts w:hint="default"/>
        <w:b w:val="0"/>
        <w:bCs w:val="0"/>
      </w:rPr>
    </w:lvl>
  </w:abstractNum>
  <w:abstractNum w:abstractNumId="49">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50">
    <w:nsid w:val="3C550B14"/>
    <w:multiLevelType w:val="singleLevel"/>
    <w:tmpl w:val="3C550B14"/>
    <w:lvl w:ilvl="0" w:tentative="0">
      <w:start w:val="1"/>
      <w:numFmt w:val="decimal"/>
      <w:suff w:val="nothing"/>
      <w:lvlText w:val="%1．"/>
      <w:lvlJc w:val="left"/>
      <w:pPr>
        <w:ind w:left="0" w:firstLine="400"/>
      </w:pPr>
      <w:rPr>
        <w:rFonts w:hint="default"/>
      </w:rPr>
    </w:lvl>
  </w:abstractNum>
  <w:abstractNum w:abstractNumId="5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5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53">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5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5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5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5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5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6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61">
    <w:nsid w:val="5BA91325"/>
    <w:multiLevelType w:val="singleLevel"/>
    <w:tmpl w:val="5BA91325"/>
    <w:lvl w:ilvl="0" w:tentative="0">
      <w:start w:val="1"/>
      <w:numFmt w:val="decimal"/>
      <w:suff w:val="nothing"/>
      <w:lvlText w:val="（%1）"/>
      <w:lvlJc w:val="left"/>
    </w:lvl>
  </w:abstractNum>
  <w:abstractNum w:abstractNumId="62">
    <w:nsid w:val="60C0383C"/>
    <w:multiLevelType w:val="singleLevel"/>
    <w:tmpl w:val="60C0383C"/>
    <w:lvl w:ilvl="0" w:tentative="0">
      <w:start w:val="1"/>
      <w:numFmt w:val="chineseCounting"/>
      <w:suff w:val="nothing"/>
      <w:lvlText w:val="（%1）"/>
      <w:lvlJc w:val="left"/>
      <w:pPr>
        <w:ind w:left="0" w:firstLine="420"/>
      </w:pPr>
      <w:rPr>
        <w:rFonts w:hint="eastAsia"/>
      </w:rPr>
    </w:lvl>
  </w:abstractNum>
  <w:abstractNum w:abstractNumId="63">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64">
    <w:nsid w:val="60C038C0"/>
    <w:multiLevelType w:val="singleLevel"/>
    <w:tmpl w:val="60C038C0"/>
    <w:lvl w:ilvl="0" w:tentative="0">
      <w:start w:val="1"/>
      <w:numFmt w:val="chineseCounting"/>
      <w:suff w:val="nothing"/>
      <w:lvlText w:val="（%1）"/>
      <w:lvlJc w:val="left"/>
      <w:pPr>
        <w:ind w:left="0" w:firstLine="420"/>
      </w:pPr>
      <w:rPr>
        <w:rFonts w:hint="eastAsia"/>
      </w:rPr>
    </w:lvl>
  </w:abstractNum>
  <w:abstractNum w:abstractNumId="65">
    <w:nsid w:val="60C038EA"/>
    <w:multiLevelType w:val="singleLevel"/>
    <w:tmpl w:val="60C038EA"/>
    <w:lvl w:ilvl="0" w:tentative="0">
      <w:start w:val="1"/>
      <w:numFmt w:val="chineseCounting"/>
      <w:suff w:val="nothing"/>
      <w:lvlText w:val="（%1）"/>
      <w:lvlJc w:val="left"/>
      <w:pPr>
        <w:ind w:left="0" w:firstLine="420"/>
      </w:pPr>
      <w:rPr>
        <w:rFonts w:hint="eastAsia"/>
      </w:rPr>
    </w:lvl>
  </w:abstractNum>
  <w:abstractNum w:abstractNumId="66">
    <w:nsid w:val="60C03912"/>
    <w:multiLevelType w:val="singleLevel"/>
    <w:tmpl w:val="60C03912"/>
    <w:lvl w:ilvl="0" w:tentative="0">
      <w:start w:val="1"/>
      <w:numFmt w:val="chineseCounting"/>
      <w:suff w:val="nothing"/>
      <w:lvlText w:val="（%1）"/>
      <w:lvlJc w:val="left"/>
      <w:pPr>
        <w:ind w:left="0" w:firstLine="420"/>
      </w:pPr>
      <w:rPr>
        <w:rFonts w:hint="eastAsia"/>
      </w:rPr>
    </w:lvl>
  </w:abstractNum>
  <w:abstractNum w:abstractNumId="67">
    <w:nsid w:val="60C03933"/>
    <w:multiLevelType w:val="singleLevel"/>
    <w:tmpl w:val="60C03933"/>
    <w:lvl w:ilvl="0" w:tentative="0">
      <w:start w:val="1"/>
      <w:numFmt w:val="chineseCounting"/>
      <w:suff w:val="nothing"/>
      <w:lvlText w:val="（%1）"/>
      <w:lvlJc w:val="left"/>
      <w:pPr>
        <w:ind w:left="0" w:firstLine="420"/>
      </w:pPr>
      <w:rPr>
        <w:rFonts w:hint="eastAsia"/>
      </w:rPr>
    </w:lvl>
  </w:abstractNum>
  <w:abstractNum w:abstractNumId="68">
    <w:nsid w:val="60C03E3F"/>
    <w:multiLevelType w:val="singleLevel"/>
    <w:tmpl w:val="60C03E3F"/>
    <w:lvl w:ilvl="0" w:tentative="0">
      <w:start w:val="1"/>
      <w:numFmt w:val="chineseCounting"/>
      <w:suff w:val="nothing"/>
      <w:lvlText w:val="（%1）"/>
      <w:lvlJc w:val="left"/>
      <w:pPr>
        <w:ind w:left="0" w:firstLine="420"/>
      </w:pPr>
      <w:rPr>
        <w:rFonts w:hint="eastAsia"/>
      </w:rPr>
    </w:lvl>
  </w:abstractNum>
  <w:abstractNum w:abstractNumId="69">
    <w:nsid w:val="60C03E76"/>
    <w:multiLevelType w:val="singleLevel"/>
    <w:tmpl w:val="60C03E76"/>
    <w:lvl w:ilvl="0" w:tentative="0">
      <w:start w:val="1"/>
      <w:numFmt w:val="chineseCounting"/>
      <w:suff w:val="nothing"/>
      <w:lvlText w:val="%1、"/>
      <w:lvlJc w:val="left"/>
      <w:pPr>
        <w:ind w:left="0" w:firstLine="420"/>
      </w:pPr>
      <w:rPr>
        <w:rFonts w:hint="eastAsia"/>
      </w:rPr>
    </w:lvl>
  </w:abstractNum>
  <w:abstractNum w:abstractNumId="70">
    <w:nsid w:val="60C03E91"/>
    <w:multiLevelType w:val="singleLevel"/>
    <w:tmpl w:val="60C03E91"/>
    <w:lvl w:ilvl="0" w:tentative="0">
      <w:start w:val="2"/>
      <w:numFmt w:val="chineseCounting"/>
      <w:suff w:val="nothing"/>
      <w:lvlText w:val="%1、"/>
      <w:lvlJc w:val="left"/>
      <w:pPr>
        <w:ind w:left="0" w:firstLine="420"/>
      </w:pPr>
      <w:rPr>
        <w:rFonts w:hint="eastAsia"/>
      </w:rPr>
    </w:lvl>
  </w:abstractNum>
  <w:abstractNum w:abstractNumId="71">
    <w:nsid w:val="60C03EC3"/>
    <w:multiLevelType w:val="singleLevel"/>
    <w:tmpl w:val="60C03EC3"/>
    <w:lvl w:ilvl="0" w:tentative="0">
      <w:start w:val="3"/>
      <w:numFmt w:val="chineseCounting"/>
      <w:suff w:val="nothing"/>
      <w:lvlText w:val="%1、"/>
      <w:lvlJc w:val="left"/>
      <w:pPr>
        <w:ind w:left="0" w:firstLine="420"/>
      </w:pPr>
      <w:rPr>
        <w:rFonts w:hint="eastAsia"/>
      </w:rPr>
    </w:lvl>
  </w:abstractNum>
  <w:abstractNum w:abstractNumId="72">
    <w:nsid w:val="60C03ED7"/>
    <w:multiLevelType w:val="singleLevel"/>
    <w:tmpl w:val="60C03ED7"/>
    <w:lvl w:ilvl="0" w:tentative="0">
      <w:start w:val="1"/>
      <w:numFmt w:val="chineseCounting"/>
      <w:suff w:val="nothing"/>
      <w:lvlText w:val="（%1）"/>
      <w:lvlJc w:val="left"/>
      <w:pPr>
        <w:ind w:left="0" w:firstLine="420"/>
      </w:pPr>
      <w:rPr>
        <w:rFonts w:hint="eastAsia"/>
      </w:rPr>
    </w:lvl>
  </w:abstractNum>
  <w:abstractNum w:abstractNumId="73">
    <w:nsid w:val="60C03F05"/>
    <w:multiLevelType w:val="singleLevel"/>
    <w:tmpl w:val="60C03F05"/>
    <w:lvl w:ilvl="0" w:tentative="0">
      <w:start w:val="1"/>
      <w:numFmt w:val="decimal"/>
      <w:suff w:val="nothing"/>
      <w:lvlText w:val="%1．"/>
      <w:lvlJc w:val="left"/>
      <w:pPr>
        <w:ind w:left="0" w:firstLine="400"/>
      </w:pPr>
      <w:rPr>
        <w:rFonts w:hint="default"/>
      </w:rPr>
    </w:lvl>
  </w:abstractNum>
  <w:abstractNum w:abstractNumId="74">
    <w:nsid w:val="60C03F2E"/>
    <w:multiLevelType w:val="singleLevel"/>
    <w:tmpl w:val="60C03F2E"/>
    <w:lvl w:ilvl="0" w:tentative="0">
      <w:start w:val="4"/>
      <w:numFmt w:val="chineseCounting"/>
      <w:suff w:val="nothing"/>
      <w:lvlText w:val="（%1）"/>
      <w:lvlJc w:val="left"/>
      <w:pPr>
        <w:ind w:left="0" w:firstLine="420"/>
      </w:pPr>
      <w:rPr>
        <w:rFonts w:hint="eastAsia"/>
      </w:rPr>
    </w:lvl>
  </w:abstractNum>
  <w:abstractNum w:abstractNumId="75">
    <w:nsid w:val="60C03F4B"/>
    <w:multiLevelType w:val="singleLevel"/>
    <w:tmpl w:val="60C03F4B"/>
    <w:lvl w:ilvl="0" w:tentative="0">
      <w:start w:val="1"/>
      <w:numFmt w:val="chineseCounting"/>
      <w:suff w:val="nothing"/>
      <w:lvlText w:val="（%1）"/>
      <w:lvlJc w:val="left"/>
      <w:pPr>
        <w:ind w:left="0" w:firstLine="420"/>
      </w:pPr>
      <w:rPr>
        <w:rFonts w:hint="eastAsia"/>
      </w:rPr>
    </w:lvl>
  </w:abstractNum>
  <w:abstractNum w:abstractNumId="76">
    <w:nsid w:val="61CBC088"/>
    <w:multiLevelType w:val="singleLevel"/>
    <w:tmpl w:val="61CBC088"/>
    <w:lvl w:ilvl="0" w:tentative="0">
      <w:start w:val="1"/>
      <w:numFmt w:val="chineseCounting"/>
      <w:suff w:val="nothing"/>
      <w:lvlText w:val="（%1）"/>
      <w:lvlJc w:val="left"/>
      <w:pPr>
        <w:ind w:left="0" w:firstLine="420"/>
      </w:pPr>
      <w:rPr>
        <w:rFonts w:hint="eastAsia"/>
        <w:b w:val="0"/>
        <w:bCs w:val="0"/>
      </w:rPr>
    </w:lvl>
  </w:abstractNum>
  <w:abstractNum w:abstractNumId="77">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78">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79">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80">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81">
    <w:nsid w:val="61CBC28E"/>
    <w:multiLevelType w:val="singleLevel"/>
    <w:tmpl w:val="61CBC28E"/>
    <w:lvl w:ilvl="0" w:tentative="0">
      <w:start w:val="1"/>
      <w:numFmt w:val="chineseCounting"/>
      <w:suff w:val="nothing"/>
      <w:lvlText w:val="（%1）"/>
      <w:lvlJc w:val="left"/>
      <w:pPr>
        <w:ind w:left="0" w:firstLine="420"/>
      </w:pPr>
      <w:rPr>
        <w:rFonts w:hint="eastAsia"/>
      </w:rPr>
    </w:lvl>
  </w:abstractNum>
  <w:abstractNum w:abstractNumId="82">
    <w:nsid w:val="61F30F62"/>
    <w:multiLevelType w:val="singleLevel"/>
    <w:tmpl w:val="61F30F62"/>
    <w:lvl w:ilvl="0" w:tentative="0">
      <w:start w:val="1"/>
      <w:numFmt w:val="decimal"/>
      <w:suff w:val="nothing"/>
      <w:lvlText w:val="（%1）"/>
      <w:lvlJc w:val="left"/>
      <w:rPr>
        <w:rFonts w:hint="default"/>
        <w:b w:val="0"/>
        <w:bCs w:val="0"/>
      </w:rPr>
    </w:lvl>
  </w:abstractNum>
  <w:abstractNum w:abstractNumId="83">
    <w:nsid w:val="69C07A9C"/>
    <w:multiLevelType w:val="singleLevel"/>
    <w:tmpl w:val="69C07A9C"/>
    <w:lvl w:ilvl="0" w:tentative="0">
      <w:start w:val="1"/>
      <w:numFmt w:val="lowerLetter"/>
      <w:suff w:val="space"/>
      <w:lvlText w:val="%1."/>
      <w:lvlJc w:val="left"/>
    </w:lvl>
  </w:abstractNum>
  <w:abstractNum w:abstractNumId="8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8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8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8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4"/>
  </w:num>
  <w:num w:numId="2">
    <w:abstractNumId w:val="1"/>
  </w:num>
  <w:num w:numId="3">
    <w:abstractNumId w:val="53"/>
  </w:num>
  <w:num w:numId="4">
    <w:abstractNumId w:val="45"/>
  </w:num>
  <w:num w:numId="5">
    <w:abstractNumId w:val="37"/>
  </w:num>
  <w:num w:numId="6">
    <w:abstractNumId w:val="86"/>
  </w:num>
  <w:num w:numId="7">
    <w:abstractNumId w:val="40"/>
  </w:num>
  <w:num w:numId="8">
    <w:abstractNumId w:val="87"/>
  </w:num>
  <w:num w:numId="9">
    <w:abstractNumId w:val="25"/>
  </w:num>
  <w:num w:numId="10">
    <w:abstractNumId w:val="59"/>
  </w:num>
  <w:num w:numId="11">
    <w:abstractNumId w:val="55"/>
  </w:num>
  <w:num w:numId="12">
    <w:abstractNumId w:val="35"/>
  </w:num>
  <w:num w:numId="13">
    <w:abstractNumId w:val="31"/>
  </w:num>
  <w:num w:numId="14">
    <w:abstractNumId w:val="41"/>
  </w:num>
  <w:num w:numId="15">
    <w:abstractNumId w:val="30"/>
  </w:num>
  <w:num w:numId="16">
    <w:abstractNumId w:val="20"/>
  </w:num>
  <w:num w:numId="17">
    <w:abstractNumId w:val="11"/>
  </w:num>
  <w:num w:numId="18">
    <w:abstractNumId w:val="17"/>
  </w:num>
  <w:num w:numId="19">
    <w:abstractNumId w:val="8"/>
  </w:num>
  <w:num w:numId="20">
    <w:abstractNumId w:val="9"/>
  </w:num>
  <w:num w:numId="21">
    <w:abstractNumId w:val="7"/>
  </w:num>
  <w:num w:numId="22">
    <w:abstractNumId w:val="36"/>
  </w:num>
  <w:num w:numId="23">
    <w:abstractNumId w:val="26"/>
  </w:num>
  <w:num w:numId="24">
    <w:abstractNumId w:val="85"/>
  </w:num>
  <w:num w:numId="25">
    <w:abstractNumId w:val="54"/>
  </w:num>
  <w:num w:numId="26">
    <w:abstractNumId w:val="33"/>
  </w:num>
  <w:num w:numId="27">
    <w:abstractNumId w:val="56"/>
  </w:num>
  <w:num w:numId="28">
    <w:abstractNumId w:val="61"/>
  </w:num>
  <w:num w:numId="29">
    <w:abstractNumId w:val="83"/>
  </w:num>
  <w:num w:numId="30">
    <w:abstractNumId w:val="47"/>
  </w:num>
  <w:num w:numId="31">
    <w:abstractNumId w:val="19"/>
  </w:num>
  <w:num w:numId="32">
    <w:abstractNumId w:val="46"/>
  </w:num>
  <w:num w:numId="33">
    <w:abstractNumId w:val="22"/>
  </w:num>
  <w:num w:numId="34">
    <w:abstractNumId w:val="6"/>
  </w:num>
  <w:num w:numId="35">
    <w:abstractNumId w:val="58"/>
  </w:num>
  <w:num w:numId="36">
    <w:abstractNumId w:val="5"/>
  </w:num>
  <w:num w:numId="37">
    <w:abstractNumId w:val="39"/>
  </w:num>
  <w:num w:numId="38">
    <w:abstractNumId w:val="44"/>
  </w:num>
  <w:num w:numId="39">
    <w:abstractNumId w:val="84"/>
  </w:num>
  <w:num w:numId="40">
    <w:abstractNumId w:val="38"/>
  </w:num>
  <w:num w:numId="41">
    <w:abstractNumId w:val="21"/>
  </w:num>
  <w:num w:numId="42">
    <w:abstractNumId w:val="49"/>
  </w:num>
  <w:num w:numId="43">
    <w:abstractNumId w:val="0"/>
  </w:num>
  <w:num w:numId="44">
    <w:abstractNumId w:val="24"/>
  </w:num>
  <w:num w:numId="45">
    <w:abstractNumId w:val="52"/>
  </w:num>
  <w:num w:numId="46">
    <w:abstractNumId w:val="3"/>
  </w:num>
  <w:num w:numId="47">
    <w:abstractNumId w:val="27"/>
  </w:num>
  <w:num w:numId="48">
    <w:abstractNumId w:val="34"/>
  </w:num>
  <w:num w:numId="49">
    <w:abstractNumId w:val="57"/>
  </w:num>
  <w:num w:numId="50">
    <w:abstractNumId w:val="42"/>
  </w:num>
  <w:num w:numId="51">
    <w:abstractNumId w:val="18"/>
  </w:num>
  <w:num w:numId="52">
    <w:abstractNumId w:val="32"/>
  </w:num>
  <w:num w:numId="53">
    <w:abstractNumId w:val="28"/>
  </w:num>
  <w:num w:numId="54">
    <w:abstractNumId w:val="29"/>
  </w:num>
  <w:num w:numId="55">
    <w:abstractNumId w:val="82"/>
  </w:num>
  <w:num w:numId="56">
    <w:abstractNumId w:val="48"/>
  </w:num>
  <w:num w:numId="57">
    <w:abstractNumId w:val="2"/>
  </w:num>
  <w:num w:numId="58">
    <w:abstractNumId w:val="60"/>
  </w:num>
  <w:num w:numId="59">
    <w:abstractNumId w:val="12"/>
  </w:num>
  <w:num w:numId="60">
    <w:abstractNumId w:val="10"/>
  </w:num>
  <w:num w:numId="61">
    <w:abstractNumId w:val="13"/>
  </w:num>
  <w:num w:numId="62">
    <w:abstractNumId w:val="43"/>
  </w:num>
  <w:num w:numId="63">
    <w:abstractNumId w:val="23"/>
  </w:num>
  <w:num w:numId="64">
    <w:abstractNumId w:val="4"/>
  </w:num>
  <w:num w:numId="65">
    <w:abstractNumId w:val="51"/>
  </w:num>
  <w:num w:numId="66">
    <w:abstractNumId w:val="69"/>
  </w:num>
  <w:num w:numId="67">
    <w:abstractNumId w:val="68"/>
  </w:num>
  <w:num w:numId="68">
    <w:abstractNumId w:val="70"/>
  </w:num>
  <w:num w:numId="69">
    <w:abstractNumId w:val="71"/>
  </w:num>
  <w:num w:numId="70">
    <w:abstractNumId w:val="72"/>
  </w:num>
  <w:num w:numId="71">
    <w:abstractNumId w:val="73"/>
  </w:num>
  <w:num w:numId="72">
    <w:abstractNumId w:val="74"/>
  </w:num>
  <w:num w:numId="73">
    <w:abstractNumId w:val="75"/>
  </w:num>
  <w:num w:numId="74">
    <w:abstractNumId w:val="50"/>
  </w:num>
  <w:num w:numId="75">
    <w:abstractNumId w:val="16"/>
  </w:num>
  <w:num w:numId="76">
    <w:abstractNumId w:val="62"/>
  </w:num>
  <w:num w:numId="77">
    <w:abstractNumId w:val="63"/>
  </w:num>
  <w:num w:numId="78">
    <w:abstractNumId w:val="64"/>
  </w:num>
  <w:num w:numId="79">
    <w:abstractNumId w:val="65"/>
  </w:num>
  <w:num w:numId="80">
    <w:abstractNumId w:val="66"/>
  </w:num>
  <w:num w:numId="81">
    <w:abstractNumId w:val="67"/>
  </w:num>
  <w:num w:numId="82">
    <w:abstractNumId w:val="76"/>
  </w:num>
  <w:num w:numId="83">
    <w:abstractNumId w:val="77"/>
  </w:num>
  <w:num w:numId="84">
    <w:abstractNumId w:val="15"/>
  </w:num>
  <w:num w:numId="85">
    <w:abstractNumId w:val="78"/>
  </w:num>
  <w:num w:numId="86">
    <w:abstractNumId w:val="79"/>
  </w:num>
  <w:num w:numId="87">
    <w:abstractNumId w:val="80"/>
  </w:num>
  <w:num w:numId="88">
    <w:abstractNumId w:val="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3D24BD1"/>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BDFC438"/>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7BBC2D"/>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ED78B0"/>
    <w:rsid w:val="4DFF95C2"/>
    <w:rsid w:val="4E08799D"/>
    <w:rsid w:val="4E2B414A"/>
    <w:rsid w:val="4F5679CC"/>
    <w:rsid w:val="501840BA"/>
    <w:rsid w:val="50991F79"/>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58D59F"/>
    <w:rsid w:val="6D7DF25D"/>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6EFFA94"/>
    <w:rsid w:val="779F8057"/>
    <w:rsid w:val="77BF7507"/>
    <w:rsid w:val="78244617"/>
    <w:rsid w:val="7A0BDE84"/>
    <w:rsid w:val="7A923507"/>
    <w:rsid w:val="7ACB640D"/>
    <w:rsid w:val="7BFF1A29"/>
    <w:rsid w:val="7C044D89"/>
    <w:rsid w:val="7C63442B"/>
    <w:rsid w:val="7C704D3F"/>
    <w:rsid w:val="7C7C3745"/>
    <w:rsid w:val="7CFA73FA"/>
    <w:rsid w:val="7D3AA22F"/>
    <w:rsid w:val="7D56646C"/>
    <w:rsid w:val="7D9B44EF"/>
    <w:rsid w:val="7DBB84CA"/>
    <w:rsid w:val="7DE35ECA"/>
    <w:rsid w:val="7DEFCC9B"/>
    <w:rsid w:val="7E1A0C5A"/>
    <w:rsid w:val="7E3212D3"/>
    <w:rsid w:val="7E3B83F0"/>
    <w:rsid w:val="7EEF5777"/>
    <w:rsid w:val="7EFF5CE5"/>
    <w:rsid w:val="7F365A97"/>
    <w:rsid w:val="7F5F887D"/>
    <w:rsid w:val="7FA95972"/>
    <w:rsid w:val="7FAF35E2"/>
    <w:rsid w:val="7FAF3BBC"/>
    <w:rsid w:val="7FCC7D05"/>
    <w:rsid w:val="7FDEAF5B"/>
    <w:rsid w:val="7FEF42B8"/>
    <w:rsid w:val="7FFE13BE"/>
    <w:rsid w:val="7FFEC540"/>
    <w:rsid w:val="7FFF0B3B"/>
    <w:rsid w:val="8FDF62B9"/>
    <w:rsid w:val="96BDDFD1"/>
    <w:rsid w:val="9FD01BC3"/>
    <w:rsid w:val="ABDD3B57"/>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ECFF39E"/>
    <w:rsid w:val="EF9FC328"/>
    <w:rsid w:val="EFFE02DC"/>
    <w:rsid w:val="F3AFB096"/>
    <w:rsid w:val="F3C7F184"/>
    <w:rsid w:val="F3F331A4"/>
    <w:rsid w:val="F3FE7E0E"/>
    <w:rsid w:val="F3FF81F7"/>
    <w:rsid w:val="F7FE62B6"/>
    <w:rsid w:val="FA543BA3"/>
    <w:rsid w:val="FB3B5DB3"/>
    <w:rsid w:val="FCFD0BD5"/>
    <w:rsid w:val="FD7F9463"/>
    <w:rsid w:val="FD9DAB08"/>
    <w:rsid w:val="FDFC361F"/>
    <w:rsid w:val="FDFD5128"/>
    <w:rsid w:val="FE8FD80F"/>
    <w:rsid w:val="FEAED78B"/>
    <w:rsid w:val="FF4BD653"/>
    <w:rsid w:val="FF6C6882"/>
    <w:rsid w:val="FFAB45F8"/>
    <w:rsid w:val="FFB4FDF1"/>
    <w:rsid w:val="FFBFDE40"/>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2014-11-10T12:08:00Z</dcterms:created>
  <dc:creator>Administrator</dc:creator>
  <cp:lastModifiedBy>hccb</cp:lastModifiedBy>
  <dcterms:modified xsi:type="dcterms:W3CDTF">2026-08-18T08:07:55Z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6CFBD57AF750590D17D8736AB420CB9B_43</vt:lpwstr>
  </property>
  <property fmtid="{D5CDD505-2E9C-101B-9397-08002B2CF9AE}" pid="3" name="KSOProductBuildVer">
    <vt:lpwstr>2052-11.8.2.8411</vt:lpwstr>
  </property>
</Properties>
</file>