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color w:val="000000"/>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幸福99益合·添益（年年红）1年定开型2529期理财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color w:val="000000"/>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Z7002225000277</w:t>
      </w:r>
      <w:r>
        <w:rPr>
          <w:rFonts w:hint="eastAsia" w:ascii="宋体" w:hAnsi="宋体" w:cs="宋体"/>
          <w:bCs/>
          <w:color w:val="000000"/>
          <w:sz w:val="24"/>
          <w:highlight w:val="none"/>
        </w:rPr>
        <w:t>〗</w:t>
      </w:r>
    </w:p>
    <w:p>
      <w:pPr>
        <w:spacing w:line="360" w:lineRule="auto"/>
        <w:jc w:val="center"/>
        <w:rPr>
          <w:rFonts w:hint="eastAsia" w:ascii="宋体" w:hAnsi="宋体" w:cs="宋体"/>
          <w:bCs/>
          <w:color w:val="000000"/>
          <w:sz w:val="24"/>
          <w:highlight w:val="none"/>
        </w:rPr>
      </w:pPr>
    </w:p>
    <w:p>
      <w:pPr>
        <w:numPr>
          <w:ilvl w:val="0"/>
          <w:numId w:val="1"/>
        </w:numPr>
        <w:spacing w:line="360" w:lineRule="auto"/>
        <w:ind w:firstLine="482" w:firstLineChars="200"/>
        <w:jc w:val="left"/>
        <w:outlineLvl w:val="1"/>
        <w:rPr>
          <w:rFonts w:ascii="宋体" w:hAnsi="宋体" w:cs="宋体"/>
          <w:b/>
          <w:color w:val="000000"/>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color w:val="000000"/>
          <w:sz w:val="24"/>
          <w:highlight w:val="none"/>
        </w:rPr>
      </w:pPr>
    </w:p>
    <w:p>
      <w:pPr>
        <w:numPr>
          <w:ilvl w:val="0"/>
          <w:numId w:val="3"/>
        </w:numPr>
        <w:spacing w:line="360" w:lineRule="auto"/>
        <w:ind w:firstLine="482" w:firstLineChars="200"/>
        <w:jc w:val="left"/>
        <w:outlineLvl w:val="1"/>
        <w:rPr>
          <w:rFonts w:ascii="宋体" w:hAnsi="宋体" w:cs="宋体"/>
          <w:b/>
          <w:color w:val="000000"/>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color w:val="000000"/>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color w:val="000000"/>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幸福99益合·添益（年年红）1年定开型2529期理财</w:t>
      </w:r>
      <w:r>
        <w:rPr>
          <w:rFonts w:hint="eastAsia" w:ascii="宋体" w:hAnsi="宋体" w:cs="宋体"/>
          <w:bCs/>
          <w:color w:val="000000"/>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幸福99益合·添益（年年红）1年定开型2529期理财</w:t>
      </w:r>
      <w:r>
        <w:rPr>
          <w:rFonts w:hint="eastAsia" w:ascii="宋体" w:hAnsi="宋体" w:cs="宋体"/>
          <w:bCs/>
          <w:color w:val="000000"/>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幸福99益合·添益（年年红）1年定开型2529期理财</w:t>
      </w:r>
      <w:r>
        <w:rPr>
          <w:rFonts w:hint="eastAsia" w:ascii="宋体" w:hAnsi="宋体" w:cs="宋体"/>
          <w:bCs/>
          <w:color w:val="000000"/>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幸福99益合·添益（年年红）1年定开型2529期理财</w:t>
      </w:r>
      <w:r>
        <w:rPr>
          <w:rFonts w:hint="eastAsia" w:ascii="宋体" w:hAnsi="宋体" w:cs="宋体"/>
          <w:bCs/>
          <w:color w:val="000000"/>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幸福99益合·添益（年年红）1年定开型2529期理财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幸福99益合·添益（年年红）1年定开型2529期理财</w:t>
      </w:r>
      <w:r>
        <w:rPr>
          <w:rFonts w:hint="eastAsia" w:ascii="宋体" w:hAnsi="宋体" w:cs="宋体"/>
          <w:bCs/>
          <w:color w:val="000000"/>
          <w:highlight w:val="none"/>
        </w:rPr>
        <w:t>。</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理财计划份额/产品份额：</w:t>
      </w:r>
      <w:r>
        <w:rPr>
          <w:rFonts w:hint="eastAsia" w:ascii="宋体" w:hAnsi="宋体" w:cs="宋体"/>
          <w:bCs/>
          <w:color w:val="000000"/>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理财计划份额净值/产品份额净值：</w:t>
      </w:r>
      <w:r>
        <w:rPr>
          <w:rFonts w:hint="eastAsia" w:ascii="宋体" w:hAnsi="宋体" w:cs="宋体"/>
          <w:bCs/>
          <w:color w:val="000000"/>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理财计划份额累计净值/产品份额累计净值：</w:t>
      </w:r>
      <w:r>
        <w:rPr>
          <w:rFonts w:hint="eastAsia" w:ascii="宋体" w:hAnsi="宋体" w:cs="宋体"/>
          <w:bCs/>
          <w:color w:val="000000"/>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工作日：</w:t>
      </w:r>
      <w:r>
        <w:rPr>
          <w:rFonts w:hint="eastAsia" w:ascii="宋体" w:hAnsi="宋体" w:cs="宋体"/>
          <w:bCs/>
          <w:color w:val="000000"/>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交易日：</w:t>
      </w:r>
      <w:r>
        <w:rPr>
          <w:rFonts w:hint="eastAsia" w:ascii="宋体" w:hAnsi="宋体" w:cs="宋体"/>
          <w:bCs/>
          <w:color w:val="000000"/>
          <w:highlight w:val="none"/>
        </w:rPr>
        <w:t>指</w:t>
      </w:r>
      <w:r>
        <w:rPr>
          <w:rFonts w:hint="eastAsia" w:ascii="宋体" w:hAnsi="宋体" w:cs="宋体"/>
          <w:color w:val="000000"/>
          <w:szCs w:val="21"/>
          <w:highlight w:val="none"/>
        </w:rPr>
        <w:t>〖</w:t>
      </w:r>
      <w:r>
        <w:rPr>
          <w:rFonts w:hint="eastAsia" w:ascii="宋体" w:hAnsi="宋体" w:cs="宋体"/>
          <w:bCs/>
          <w:color w:val="000000"/>
          <w:highlight w:val="none"/>
        </w:rPr>
        <w:t>上海证券交易所、深圳证券交易所</w:t>
      </w:r>
      <w:r>
        <w:rPr>
          <w:rFonts w:hint="eastAsia" w:ascii="宋体" w:hAnsi="宋体" w:cs="宋体"/>
          <w:color w:val="000000"/>
          <w:szCs w:val="21"/>
          <w:highlight w:val="none"/>
        </w:rPr>
        <w:t>〗</w:t>
      </w:r>
      <w:r>
        <w:rPr>
          <w:rFonts w:hint="eastAsia" w:ascii="宋体" w:hAnsi="宋体" w:cs="宋体"/>
          <w:bCs/>
          <w:color w:val="000000"/>
          <w:highlight w:val="none"/>
        </w:rPr>
        <w:t>的正常交易日。</w:t>
      </w:r>
      <w:r>
        <w:rPr>
          <w:rFonts w:hint="eastAsia" w:ascii="宋体" w:hAnsi="宋体" w:cs="宋体"/>
          <w:bCs/>
          <w:color w:val="000000"/>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成立日：</w:t>
      </w:r>
      <w:r>
        <w:rPr>
          <w:rFonts w:hint="eastAsia" w:ascii="宋体" w:hAnsi="宋体" w:cs="宋体"/>
          <w:bCs/>
          <w:color w:val="000000"/>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color w:val="000000"/>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资金到账日：</w:t>
      </w:r>
      <w:r>
        <w:rPr>
          <w:rFonts w:hint="eastAsia" w:ascii="宋体" w:hAnsi="宋体" w:cs="宋体"/>
          <w:bCs/>
          <w:color w:val="000000"/>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开放期：</w:t>
      </w:r>
      <w:r>
        <w:rPr>
          <w:rFonts w:hint="eastAsia" w:ascii="宋体" w:hAnsi="宋体" w:cs="宋体"/>
          <w:bCs/>
          <w:color w:val="000000"/>
          <w:highlight w:val="none"/>
        </w:rPr>
        <w:t>指管理人向投资者提供申购</w:t>
      </w:r>
      <w:r>
        <w:rPr>
          <w:rFonts w:hint="eastAsia" w:ascii="宋体" w:hAnsi="宋体" w:cs="宋体"/>
          <w:bCs/>
          <w:color w:val="000000"/>
          <w:highlight w:val="none"/>
          <w:lang w:eastAsia="zh-CN"/>
        </w:rPr>
        <w:t>、</w:t>
      </w:r>
      <w:r>
        <w:rPr>
          <w:rFonts w:hint="eastAsia" w:ascii="宋体" w:hAnsi="宋体" w:cs="宋体"/>
          <w:bCs/>
          <w:color w:val="000000"/>
          <w:highlight w:val="none"/>
          <w:lang w:val="en-US" w:eastAsia="zh-CN"/>
        </w:rPr>
        <w:t>赎回</w:t>
      </w:r>
      <w:r>
        <w:rPr>
          <w:rFonts w:hint="eastAsia" w:ascii="宋体" w:hAnsi="宋体" w:cs="宋体"/>
          <w:bCs/>
          <w:color w:val="000000"/>
          <w:highlight w:val="none"/>
        </w:rPr>
        <w:t>交易的时间。</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理财计划费用/产品费用：</w:t>
      </w:r>
      <w:r>
        <w:rPr>
          <w:rFonts w:hint="eastAsia" w:ascii="宋体" w:hAnsi="宋体" w:cs="宋体"/>
          <w:bCs/>
          <w:color w:val="000000"/>
          <w:highlight w:val="none"/>
        </w:rPr>
        <w:t>指管理人为成立理财计划及处理理财计划事务而支出的所有费用，包括但不限于管理人收取的固定管理费、浮动管理费、</w:t>
      </w:r>
      <w:r>
        <w:rPr>
          <w:rFonts w:hint="eastAsia" w:ascii="宋体" w:hAnsi="宋体" w:cs="宋体"/>
          <w:bCs/>
          <w:color w:val="000000"/>
          <w:highlight w:val="none"/>
          <w:lang w:eastAsia="zh-CN"/>
        </w:rPr>
        <w:t>销售服务费</w:t>
      </w:r>
      <w:r>
        <w:rPr>
          <w:rFonts w:hint="eastAsia" w:ascii="宋体" w:hAnsi="宋体" w:cs="宋体"/>
          <w:bCs/>
          <w:color w:val="000000"/>
          <w:highlight w:val="none"/>
        </w:rPr>
        <w:t>、托管人收取的托管费、交易费用、执行费用等相关费用，具体以</w:t>
      </w:r>
      <w:r>
        <w:rPr>
          <w:rFonts w:hint="eastAsia" w:ascii="宋体" w:hAnsi="宋体" w:cs="宋体"/>
          <w:bCs/>
          <w:color w:val="000000"/>
          <w:highlight w:val="none"/>
          <w:lang w:eastAsia="zh-CN"/>
        </w:rPr>
        <w:t>实际发生</w:t>
      </w:r>
      <w:r>
        <w:rPr>
          <w:rFonts w:hint="eastAsia" w:ascii="宋体" w:hAnsi="宋体" w:cs="宋体"/>
          <w:bCs/>
          <w:color w:val="000000"/>
          <w:highlight w:val="none"/>
        </w:rPr>
        <w:t>为准。</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highlight w:val="none"/>
          <w:lang w:eastAsia="zh-CN"/>
        </w:rPr>
        <w:t>其他费用：</w:t>
      </w:r>
      <w:r>
        <w:rPr>
          <w:rFonts w:hint="eastAsia" w:ascii="宋体" w:hAnsi="宋体" w:cs="宋体"/>
          <w:b w:val="0"/>
          <w:bCs/>
          <w:color w:val="000000"/>
          <w:highlight w:val="none"/>
          <w:lang w:eastAsia="zh-CN"/>
        </w:rPr>
        <w:t>指除理财计划费用以外，理财计划涉及的其他相关费用，包括但不限于认购费、申购费、赎回费、投顾费等，具体以</w:t>
      </w:r>
      <w:r>
        <w:rPr>
          <w:rFonts w:hint="eastAsia" w:ascii="宋体" w:hAnsi="宋体" w:cs="宋体"/>
          <w:bCs/>
          <w:color w:val="000000"/>
          <w:highlight w:val="none"/>
        </w:rPr>
        <w:t>本说明书第八条约定</w:t>
      </w:r>
      <w:r>
        <w:rPr>
          <w:rFonts w:hint="eastAsia" w:ascii="宋体" w:hAnsi="宋体" w:cs="宋体"/>
          <w:b w:val="0"/>
          <w:bCs/>
          <w:color w:val="000000"/>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highlight w:val="none"/>
        </w:rPr>
        <w:t>理财计划估值：</w:t>
      </w:r>
      <w:r>
        <w:rPr>
          <w:rFonts w:hint="eastAsia" w:ascii="宋体" w:hAnsi="宋体" w:cs="宋体"/>
          <w:bCs/>
          <w:color w:val="000000"/>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流</w:t>
      </w:r>
      <w:r>
        <w:rPr>
          <w:rFonts w:hint="eastAsia"/>
          <w:b/>
          <w:bCs w:val="0"/>
          <w:color w:val="000000"/>
          <w:highlight w:val="none"/>
          <w:lang w:val="en-US" w:eastAsia="zh-CN"/>
        </w:rPr>
        <w:t>动性受限资产：</w:t>
      </w:r>
      <w:r>
        <w:rPr>
          <w:rFonts w:hint="eastAsia"/>
          <w:color w:val="000000"/>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b/>
          <w:bCs/>
          <w:color w:val="000000"/>
          <w:highlight w:val="none"/>
          <w:lang w:val="en-US" w:eastAsia="zh-CN"/>
        </w:rPr>
        <w:t>7个工作日可变现资产：</w:t>
      </w:r>
      <w:r>
        <w:rPr>
          <w:rFonts w:hint="eastAsia"/>
          <w:color w:val="000000"/>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000000"/>
          <w:kern w:val="2"/>
          <w:highlight w:val="none"/>
        </w:rPr>
      </w:pPr>
      <w:r>
        <w:rPr>
          <w:rFonts w:hint="eastAsia"/>
          <w:b/>
          <w:bCs/>
          <w:color w:val="000000"/>
          <w:highlight w:val="none"/>
          <w:lang w:val="en-US" w:eastAsia="zh-CN"/>
        </w:rPr>
        <w:t>投资退出期：</w:t>
      </w:r>
      <w:r>
        <w:rPr>
          <w:rFonts w:hint="eastAsia" w:ascii="Times New Roman" w:hAnsi="Times New Roman" w:eastAsia="宋体" w:cs="Times New Roman"/>
          <w:color w:val="000000"/>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000000"/>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000000"/>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color w:val="000000"/>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000000"/>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000000"/>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000000"/>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000000"/>
          <w:kern w:val="2"/>
          <w:highlight w:val="none"/>
        </w:rPr>
      </w:pPr>
    </w:p>
    <w:p>
      <w:pPr>
        <w:pStyle w:val="20"/>
        <w:numPr>
          <w:ilvl w:val="0"/>
          <w:numId w:val="10"/>
        </w:numPr>
        <w:adjustRightInd/>
        <w:spacing w:line="360" w:lineRule="auto"/>
        <w:outlineLvl w:val="1"/>
        <w:rPr>
          <w:rFonts w:hint="eastAsia" w:ascii="宋体" w:hAnsi="宋体" w:cs="宋体"/>
          <w:b/>
          <w:color w:val="000000"/>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幸福99益合·添益（年年红）1年定开型2529期理财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添益（年年红）1年定开型2529期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TYG12M2529</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Z7002225000277</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A份额（销售代码〖TYG12M2529A〗）：普通个人投资者和机构投资者。</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B份额（销售代码〖TYG12M2529B〗）：普通个人投资者和机构投资者。</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H份额（销售代码〖TYG12M2529H〗）：普通个人投资者和机构客户。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L份额（销售代码〖TYG12M2529L〗）：兰州银行专属，面向〖普通个人投资者和机构投资者〗发售。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ZA份额（自动赎回）（销售代码〖TYG12M2529ZA〗）：普通个人投资者和机构客户。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ZB份额（自动赎回）（销售代码〖TYG12M2529ZB〗）：普通个人投资者和机构客户。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ZC份额（自动赎回）（销售代码〖TYG12M2529ZC〗）：普通个人投资者和机构客户。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ZD份额（自动赎回）（销售代码〖TYG12M2529ZD〗）：普通个人投资者和机构客户。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ZG份额（自动赎回）（销售代码〖TYG12M2529ZG〗）：普通个人投资者和机构客户。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ZH份额（自动赎回）（销售代码〖TYG12M2529ZH〗）：普通个人投资者和机构客户。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ZI份额（自动赎回）（销售代码〖TYG12M2529ZI〗）：普通个人投资者和机构客户。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ZJ份额（自动赎回）（销售代码〖TYG12M2529ZJ〗）：普通个人投资者和机构客户。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ZX份额惠享款（自动赎回）（销售代码〖TYG12M2529ZX〗）：普通个人投资者和机构客户。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ZY份额惠享款（自动赎回）（销售代码〖TYG12M2529ZY〗）：普通个人投资者和机构客户。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〖L份额〗起点〖0.01〗元整，超过认购/申购起点部分，应为〖0.01〗元的整数倍。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〖ZB份额〗起点〖0.01〗元整，超过认购/申购起点部分，应为〖0.01〗元的整数倍。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〖ZC份额〗起点〖0.01〗元整，超过认购/申购起点部分，应为〖0.01〗元的整数倍。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〖ZD份额〗起点〖0.01〗元整，超过认购/申购起点部分，应为〖0.01〗元的整数倍。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〖ZG份额〗起点〖0.01〗元整，超过认购/申购起点部分，应为〖0.01〗元的整数倍。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〖ZH份额〗起点〖0.01〗元整，超过认购/申购起点部分，应为〖0.01〗元的整数倍。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〖ZI份额〗起点〖0.01〗元整，超过认购/申购起点部分，应为〖0.01〗元的整数倍。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〖ZJ份额〗起点〖0.01〗元整，超过认购/申购起点部分，应为〖0.01〗元的整数倍。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〖ZX份额〗起点〖0.01〗元整，超过认购/申购起点部分，应为〖0.01〗元的整数倍。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〖ZY份额〗起点〖0.01〗元整，超过认购/申购起点部分，应为〖0.01〗元的整数倍。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每年</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00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
              </w:rPr>
              <w:t>ZA份额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ZG份额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ZH份额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ZI份额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ZJ份额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ZX份额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CN" w:bidi="ar"/>
              </w:rPr>
              <w:t>ZY份额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无需进行赎回申请，在每个投资周期结束日由系统自动为所有持仓投资者发起全部持有份额赎回申请，上一投资周期投资者的所有持仓份额不会进入下一个投资周期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highlight w:val="none"/>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〖ZG份额〗单户持有上限为〖1〗亿元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〖ZI份额〗单户持有上限为〖1〗亿元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〖ZJ份额〗单户持有上限为〖1〗亿元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〖ZX份额〗单户持有上限为〖1〗亿元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〖ZY份额〗单户持有上限为〖1〗亿元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理财计划总份额，单位净值〖保留小数点后四位〗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highlight w:val="none"/>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 w:val="21"/>
                <w:szCs w:val="21"/>
                <w:highlight w:val="none"/>
              </w:rPr>
            </w:pPr>
            <w:r>
              <w:rPr>
                <w:rFonts w:hint="eastAsia" w:ascii="宋体" w:hAnsi="宋体" w:cs="宋体"/>
                <w:color w:val="000000"/>
                <w:sz w:val="21"/>
                <w:szCs w:val="21"/>
                <w:highlight w:val="none"/>
              </w:rPr>
              <w:t>在满足收益分配基准日理财计划份额净值大于1元的情况下，管理人将〖定期〗将大于1元部分的收益进行全部或部分收益分配，具体分配方案以管理人公告为准。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本理财计划〖A份额〗业绩比较基准为〖2.35%-2.55%〗（年化）。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本理财计划〖B份额〗业绩比较基准为〖2.45%-2.65%〗（年化）。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本理财计划〖H份额〗业绩比较基准为〖2.35%-2.55%〗（年化）。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本理财计划〖L份额〗业绩比较基准为〖2.45%-2.65%〗（年化）。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本理财计划〖ZA份额〗业绩比较基准为〖2.35%-2.55%〗（年化）。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本理财计划〖ZB份额〗业绩比较基准为〖2.45%-2.65%〗（年化）。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本理财计划〖ZC份额〗业绩比较基准为〖2.55%-2.75%〗（年化）。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本理财计划〖ZD份额〗业绩比较基准为〖2.50%-2.70%〗（年化）。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本理财计划〖ZG份额〗业绩比较基准为〖2.50%-2.70%〗（年化）。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本理财计划〖ZH份额〗业绩比较基准为〖2.65%-2.85%〗（年化）。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本理财计划〖ZI份额〗业绩比较基准为〖2.55%-2.75%〗（年化）。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本理财计划〖ZJ份额〗业绩比较基准为〖2.60%-2.80%〗（年化）。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本理财计划〖ZX份额〗业绩比较基准为〖2.45%-2.65%〗（年化）。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本理财计划〖ZY份额〗业绩比较基准为〖2.50%-2.70%〗（年化）。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00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highlight w:val="none"/>
                <w:lang w:val="en-US" w:eastAsia="zh-CN" w:bidi="ar-SA"/>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color w:val="000000"/>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000000"/>
                <w:sz w:val="21"/>
                <w:szCs w:val="21"/>
                <w:highlight w:val="none"/>
                <w:lang w:eastAsia="zh-CN"/>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 〖ZG份额〗收取年化〖0.20%〗的销售服务费, 〖ZH份额〗收取年化〖0.05%〗的销售服务费, 〖ZI份额〗收取年化〖0.15%〗的销售服务费, 〖ZJ份额〗收取年化〖0.10%〗的销售服务费, 〖ZX份额〗收取年化〖0.20%〗的销售服务费, 〖ZY份额〗收取年化〖0.15%〗的销售服务费。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〖ZG份额〗收取年化〖0.15%〗的固定管理费, 〖ZH份额〗收取年化〖0.15%〗的固定管理费, 〖ZI份额〗收取年化〖0.15%〗的固定管理费, 〖ZJ份额〗收取年化〖0.15%〗的固定管理费, 〖ZX份额〗收取年化〖0.20%〗的固定管理费, 〖ZY份额〗收取年化〖0.20%〗的固定管理费。</w:t>
            </w:r>
            <w:r>
              <w:rPr>
                <w:rFonts w:hint="eastAsia" w:ascii="宋体" w:hAnsi="宋体" w:cs="宋体"/>
                <w:color w:val="000000"/>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〖ZG份额〗</w:t>
            </w:r>
            <w:r>
              <w:rPr>
                <w:rFonts w:hint="eastAsia" w:ascii="宋体" w:hAnsi="宋体" w:cs="宋体"/>
                <w:b w:val="0"/>
                <w:bCs w:val="0"/>
                <w:color w:val="000000"/>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〖ZH份额〗</w:t>
            </w:r>
            <w:r>
              <w:rPr>
                <w:rFonts w:hint="eastAsia" w:ascii="宋体" w:hAnsi="宋体" w:cs="宋体"/>
                <w:b w:val="0"/>
                <w:bCs w:val="0"/>
                <w:color w:val="000000"/>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〖ZI份额〗</w:t>
            </w:r>
            <w:r>
              <w:rPr>
                <w:rFonts w:hint="eastAsia" w:ascii="宋体" w:hAnsi="宋体" w:cs="宋体"/>
                <w:b w:val="0"/>
                <w:bCs w:val="0"/>
                <w:color w:val="000000"/>
                <w:kern w:val="0"/>
                <w:sz w:val="21"/>
                <w:szCs w:val="21"/>
                <w:highlight w:val="none"/>
                <w:lang w:val="en-US" w:eastAsia="zh-CN" w:bidi="ar"/>
              </w:rPr>
              <w:t>、</w:t>
            </w:r>
            <w:r>
              <w:rPr>
                <w:rFonts w:hint="eastAsia" w:ascii="宋体" w:hAnsi="宋体" w:eastAsia="宋体" w:cs="宋体"/>
                <w:color w:val="000000"/>
                <w:kern w:val="2"/>
                <w:sz w:val="21"/>
                <w:szCs w:val="21"/>
                <w:highlight w:val="none"/>
                <w:lang w:val="en-US" w:eastAsia="zh-CN" w:bidi="ar-SA"/>
              </w:rPr>
              <w:t>〖ZJ份额〗</w:t>
            </w:r>
            <w:r>
              <w:rPr>
                <w:rFonts w:hint="eastAsia" w:ascii="宋体" w:hAnsi="宋体" w:cs="宋体"/>
                <w:color w:val="000000"/>
                <w:kern w:val="2"/>
                <w:sz w:val="21"/>
                <w:szCs w:val="21"/>
                <w:highlight w:val="none"/>
                <w:lang w:val="en-US" w:eastAsia="zh-CN" w:bidi="ar-SA"/>
              </w:rPr>
              <w:t>从下一运作周期开始收取年化</w:t>
            </w:r>
            <w:r>
              <w:rPr>
                <w:rFonts w:hint="eastAsia" w:ascii="宋体" w:hAnsi="宋体" w:eastAsia="宋体" w:cs="宋体"/>
                <w:color w:val="000000"/>
                <w:kern w:val="2"/>
                <w:sz w:val="21"/>
                <w:szCs w:val="21"/>
                <w:highlight w:val="none"/>
                <w:lang w:val="en-US" w:eastAsia="zh-CN" w:bidi="ar-SA"/>
              </w:rPr>
              <w:t>〖0.20%〗的固定管理费</w:t>
            </w:r>
            <w:r>
              <w:rPr>
                <w:rFonts w:hint="eastAsia" w:ascii="宋体" w:hAnsi="宋体" w:cs="宋体"/>
                <w:color w:val="000000"/>
                <w:kern w:val="2"/>
                <w:sz w:val="21"/>
                <w:szCs w:val="21"/>
                <w:highlight w:val="none"/>
                <w:lang w:val="en-US" w:eastAsia="zh-CN" w:bidi="ar-SA"/>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r>
              <w:rPr>
                <w:rFonts w:ascii="宋体" w:hAnsi="宋体" w:eastAsia="宋体" w:cs="宋体"/>
              </w:rPr>
              <w:t>特殊资产类型</w:t>
            </w:r>
          </w:p>
        </w:tc>
        <w:tc>
          <w:tcPr>
            <w:tcW w:w="4500" w:type="dxa"/>
            <w:vAlign w:val="center"/>
          </w:tcPr>
          <w:p>
            <w:pPr>
              <w:jc w:val="center"/>
              <w:textAlignment w:val="center"/>
            </w:pPr>
            <w:r>
              <w:rPr>
                <w:rFonts w:ascii="宋体" w:hAnsi="宋体" w:eastAsia="宋体" w:cs="宋体"/>
              </w:rPr>
              <w:t>非标准化债权类资产</w:t>
            </w:r>
          </w:p>
        </w:tc>
        <w:tc>
          <w:tcPr>
            <w:tcW w:w="2000" w:type="dxa"/>
            <w:vAlign w:val="center"/>
          </w:tcPr>
          <w:p>
            <w:pPr>
              <w:jc w:val="center"/>
              <w:textAlignment w:val="center"/>
            </w:pPr>
            <w:r>
              <w:rPr>
                <w:rFonts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000000"/>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000000"/>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highlight w:val="none"/>
        </w:rPr>
      </w:pPr>
      <w:r>
        <w:rPr>
          <w:rFonts w:hint="eastAsia" w:ascii="宋体" w:hAnsi="宋体" w:eastAsia="宋体" w:cs="宋体"/>
          <w:color w:val="000000"/>
          <w:kern w:val="2"/>
          <w:sz w:val="24"/>
          <w:szCs w:val="24"/>
          <w:highlight w:val="none"/>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kern w:val="2"/>
          <w:sz w:val="24"/>
          <w:szCs w:val="24"/>
          <w:highlight w:val="none"/>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color w:val="000000"/>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投资集中度限制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color w:val="00000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color w:val="000000"/>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兰州银行股份有限公司</w:t>
            </w:r>
          </w:p>
        </w:tc>
        <w:tc>
          <w:tcPr>
            <w:tcW w:w="1200" w:type="dxa"/>
            <w:vAlign w:val="center"/>
          </w:tcPr>
          <w:p>
            <w:pPr>
              <w:jc w:val="left"/>
            </w:pPr>
            <w:r>
              <w:t>住所</w:t>
            </w:r>
          </w:p>
        </w:tc>
        <w:tc>
          <w:tcPr>
            <w:tcW w:w="3800" w:type="dxa"/>
            <w:vAlign w:val="center"/>
          </w:tcPr>
          <w:p>
            <w:pPr>
              <w:jc w:val="center"/>
            </w:pPr>
            <w: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桂林银行股份有限公司</w:t>
            </w:r>
          </w:p>
        </w:tc>
        <w:tc>
          <w:tcPr>
            <w:tcW w:w="1200" w:type="dxa"/>
            <w:vAlign w:val="center"/>
          </w:tcPr>
          <w:p>
            <w:pPr>
              <w:jc w:val="left"/>
            </w:pPr>
            <w:r>
              <w:t>住所</w:t>
            </w:r>
          </w:p>
        </w:tc>
        <w:tc>
          <w:tcPr>
            <w:tcW w:w="3800" w:type="dxa"/>
            <w:vAlign w:val="center"/>
          </w:tcPr>
          <w:p>
            <w:pPr>
              <w:jc w:val="center"/>
            </w:pPr>
            <w:r>
              <w:t>桂林市临桂区公园北路8号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0773-3835657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汉口银行股份有限公司</w:t>
            </w:r>
          </w:p>
        </w:tc>
        <w:tc>
          <w:tcPr>
            <w:tcW w:w="1200" w:type="dxa"/>
            <w:vAlign w:val="center"/>
          </w:tcPr>
          <w:p>
            <w:pPr>
              <w:jc w:val="left"/>
            </w:pPr>
            <w:r>
              <w:t>住所</w:t>
            </w:r>
          </w:p>
        </w:tc>
        <w:tc>
          <w:tcPr>
            <w:tcW w:w="3800" w:type="dxa"/>
            <w:vAlign w:val="center"/>
          </w:tcPr>
          <w:p>
            <w:pPr>
              <w:jc w:val="center"/>
            </w:pPr>
            <w: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4000896528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估值</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color w:val="000000"/>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color w:val="000000"/>
          <w:kern w:val="2"/>
          <w:highlight w:val="none"/>
          <w:lang w:eastAsia="zh-CN"/>
        </w:rPr>
      </w:pPr>
      <w:r>
        <w:rPr>
          <w:rFonts w:hint="eastAsia" w:ascii="宋体" w:hAnsi="宋体" w:cs="宋体"/>
          <w:bCs/>
          <w:color w:val="000000"/>
          <w:kern w:val="2"/>
          <w:highlight w:val="none"/>
          <w:lang w:eastAsia="zh-CN"/>
        </w:rPr>
        <w:t>银行存款</w:t>
      </w:r>
      <w:r>
        <w:rPr>
          <w:rFonts w:hint="eastAsia" w:ascii="宋体" w:hAnsi="宋体" w:cs="宋体"/>
          <w:bCs/>
          <w:color w:val="000000"/>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color w:val="000000"/>
          <w:kern w:val="2"/>
          <w:highlight w:val="none"/>
          <w:lang w:eastAsia="zh-CN"/>
        </w:rPr>
        <w:t>按最能反映公允价值的价格估值，</w:t>
      </w:r>
      <w:r>
        <w:rPr>
          <w:rFonts w:hint="eastAsia" w:ascii="宋体" w:hAnsi="宋体" w:cs="宋体"/>
          <w:bCs/>
          <w:color w:val="000000"/>
          <w:kern w:val="2"/>
          <w:highlight w:val="none"/>
        </w:rPr>
        <w:t>并自协商一致日后执行。</w:t>
      </w:r>
    </w:p>
    <w:p>
      <w:pPr>
        <w:pStyle w:val="20"/>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费用及税收</w:t>
      </w:r>
    </w:p>
    <w:p>
      <w:pPr>
        <w:numPr>
          <w:ilvl w:val="0"/>
          <w:numId w:val="3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H份额〗、〖L份额〗、〖ZA份额〗、〖ZB份额〗、〖ZC份额〗、〖ZD份额〗、〖ZG份额〗、〖ZH份额〗、〖ZI份额〗、〖ZJ份额〗和销售服务费于产品成立日一次性收取的〖ZX份额〗、〖ZY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000000"/>
          <w:kern w:val="2"/>
          <w:position w:val="-1"/>
          <w:sz w:val="24"/>
          <w:u w:val="none"/>
          <w:vertAlign w:val="baseline"/>
        </w:rPr>
        <w:t>%〗, ZA份额的年化销售服务费率为〖0.30%〗, ZB份额的年化销售服务费率为〖0.20%〗, ZC份额的年化销售服务费率为〖0.10%〗, ZD份额的年化销售服务费率为〖0.15%〗, ZG份额的年化销售服务费率为〖0.20%〗, ZH份额的年化销售服务费率为〖0.05%〗, ZI份额的年化销售服务费率为〖0.15%〗, ZJ份额的年化销售服务费率为〖0.10%〗, ZX份额的年化销售服务费率为〖0.20%〗, ZY份额的年化销售服务费率为〖0.15%〗。两种计算方法如下：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H2为〖ZX份额〗应计提的销售服务费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E2为〖ZX份额〗成立日产品份额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ZG份额的年化固定管理费率为〖0.15%〗, ZH份额的年化固定管理费率为〖0.15%〗, ZI份额的年化固定管理费率为〖0.15%〗, ZJ份额的年化固定管理费率为〖0.15%〗, ZX份额的年化固定管理费率为〖0.20%〗, ZY份额的年化固定管理费率为〖0.20%〗,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highlight w:val="none"/>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（1）若本理财计划份额投资周期的折合年化收益率超过业绩比较基准下限但未达到业绩比较基准上限，则超过业绩比较基准下限的部分管理人收取〖50%〗作为浮动管理费，即：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2）若本理财计划份额投资周期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H为产品〖A份额〗当前确认日应收取浮动管理费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R为产品〖A份额〗业绩比较基准上限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highlight w:val="none"/>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审计费、律师费、公证费等费用。</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color w:val="000000"/>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税收说明</w:t>
      </w:r>
    </w:p>
    <w:p>
      <w:pPr>
        <w:numPr>
          <w:ilvl w:val="0"/>
          <w:numId w:val="37"/>
        </w:numPr>
        <w:spacing w:line="360" w:lineRule="auto"/>
        <w:ind w:firstLine="480" w:firstLineChars="200"/>
        <w:jc w:val="left"/>
        <w:rPr>
          <w:color w:val="000000"/>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收益计算</w:t>
      </w:r>
    </w:p>
    <w:p>
      <w:pPr>
        <w:numPr>
          <w:ilvl w:val="0"/>
          <w:numId w:val="38"/>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扣除浮动管理费后，理财计划的单位净值大于1，故理财计划进行现金分红，分红金额为4,701.23元，分红后产品的单位净值为1.0000。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投资者最终收益为：100,000.00×（1.0000-1.0000）+4,701.23=4,701.23（元），理财计划赎回时，投资者获得的实际收益相当于达到年化收益率水平为：4,701.23/100,000.00×365/362=4.74%。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扣除浮动管理费后，理财计划的单位净值大于1，故理财计划进行现金分红，分红金额为4058.56元，分红后产品的单位净值为1.0000。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理财计划的单位净值大于1，故理财计划进行现金分红，分红金额为3,650.00元，分红后产品的单位净值为1.0000。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交易规则</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申购及赎回</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交易确认及时间</w:t>
      </w:r>
    </w:p>
    <w:p>
      <w:pPr>
        <w:numPr>
          <w:ilvl w:val="0"/>
          <w:numId w:val="4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巨额赎回处理</w:t>
      </w:r>
    </w:p>
    <w:p>
      <w:pPr>
        <w:numPr>
          <w:ilvl w:val="0"/>
          <w:numId w:val="4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color w:val="000000"/>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8"/>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color w:val="000000"/>
          <w:kern w:val="0"/>
          <w:sz w:val="24"/>
          <w:szCs w:val="24"/>
          <w:highlight w:val="none"/>
        </w:rPr>
      </w:pPr>
      <w:r>
        <w:rPr>
          <w:rFonts w:hint="eastAsia" w:ascii="宋体" w:hAnsi="宋体" w:eastAsia="宋体" w:cs="宋体"/>
          <w:color w:val="000000"/>
          <w:kern w:val="2"/>
          <w:sz w:val="24"/>
          <w:szCs w:val="24"/>
          <w:highlight w:val="none"/>
          <w:lang w:val="en-US" w:eastAsia="zh-CN" w:bidi="ar"/>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color w:val="000000"/>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信息披露</w:t>
      </w:r>
    </w:p>
    <w:p>
      <w:pPr>
        <w:numPr>
          <w:ilvl w:val="0"/>
          <w:numId w:val="51"/>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披露内容及时间</w:t>
      </w:r>
    </w:p>
    <w:p>
      <w:pPr>
        <w:numPr>
          <w:ilvl w:val="0"/>
          <w:numId w:val="52"/>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4"/>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color w:val="000000"/>
          <w:sz w:val="24"/>
          <w:highlight w:val="none"/>
        </w:rPr>
      </w:pPr>
    </w:p>
    <w:p>
      <w:pPr>
        <w:numPr>
          <w:ilvl w:val="0"/>
          <w:numId w:val="23"/>
        </w:numPr>
        <w:spacing w:line="360" w:lineRule="auto"/>
        <w:ind w:firstLine="482" w:firstLineChars="200"/>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其他</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6"/>
        </w:numPr>
        <w:spacing w:line="360" w:lineRule="auto"/>
        <w:ind w:firstLine="482" w:firstLineChars="200"/>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spacing w:line="360" w:lineRule="auto"/>
        <w:jc w:val="left"/>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2D0195"/>
    <w:rsid w:val="10E7747B"/>
    <w:rsid w:val="10EB5B40"/>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24D5954"/>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BDFC438"/>
    <w:rsid w:val="2D3FA85E"/>
    <w:rsid w:val="2E16D822"/>
    <w:rsid w:val="2EAD6691"/>
    <w:rsid w:val="2F0D25D9"/>
    <w:rsid w:val="2FFC631E"/>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7BBC2D"/>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ED78B0"/>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A46E39"/>
    <w:rsid w:val="68B9403E"/>
    <w:rsid w:val="68D511B9"/>
    <w:rsid w:val="68FA6041"/>
    <w:rsid w:val="69827CEE"/>
    <w:rsid w:val="699E5049"/>
    <w:rsid w:val="6BDE71F2"/>
    <w:rsid w:val="6C9577EB"/>
    <w:rsid w:val="6CBA3A99"/>
    <w:rsid w:val="6D3A1203"/>
    <w:rsid w:val="6D58D59F"/>
    <w:rsid w:val="6D7DF25D"/>
    <w:rsid w:val="6D7F6733"/>
    <w:rsid w:val="6E9C369D"/>
    <w:rsid w:val="6EF41B11"/>
    <w:rsid w:val="6FAB028B"/>
    <w:rsid w:val="6FB17196"/>
    <w:rsid w:val="702573F3"/>
    <w:rsid w:val="706E8E93"/>
    <w:rsid w:val="70B57531"/>
    <w:rsid w:val="70FA499F"/>
    <w:rsid w:val="718B0AF8"/>
    <w:rsid w:val="730C182D"/>
    <w:rsid w:val="73FC9A3F"/>
    <w:rsid w:val="751974A1"/>
    <w:rsid w:val="758B30E4"/>
    <w:rsid w:val="75F42331"/>
    <w:rsid w:val="761F7C3C"/>
    <w:rsid w:val="76683D2A"/>
    <w:rsid w:val="76C62D9E"/>
    <w:rsid w:val="76EFFA94"/>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EFF5CE5"/>
    <w:rsid w:val="7F365A97"/>
    <w:rsid w:val="7F5F887D"/>
    <w:rsid w:val="7FA95972"/>
    <w:rsid w:val="7FAF35E2"/>
    <w:rsid w:val="7FAF3BBC"/>
    <w:rsid w:val="7FCC7D05"/>
    <w:rsid w:val="7FDEAF5B"/>
    <w:rsid w:val="7FEF42B8"/>
    <w:rsid w:val="7FFE13BE"/>
    <w:rsid w:val="7FFEC540"/>
    <w:rsid w:val="7FFF0B3B"/>
    <w:rsid w:val="8FDF62B9"/>
    <w:rsid w:val="96BDDFD1"/>
    <w:rsid w:val="9FD01BC3"/>
    <w:rsid w:val="ABDD3B57"/>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CFF39E"/>
    <w:rsid w:val="EF9FC328"/>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B4FDF1"/>
    <w:rsid w:val="FFBFDE40"/>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41189</Words>
  <Characters>44270</Characters>
  <Lines>1</Lines>
  <Paragraphs>1</Paragraphs>
  <TotalTime>1</TotalTime>
  <ScaleCrop>false</ScaleCrop>
  <LinksUpToDate>false</LinksUpToDate>
  <CharactersWithSpaces>44666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2014-11-10T12:08:00Z</dcterms:created>
  <dc:creator>Administrator</dc:creator>
  <cp:lastModifiedBy>hccb</cp:lastModifiedBy>
  <dcterms:modified xsi:type="dcterms:W3CDTF">2026-08-11T01:42:36Z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6CFBD57AF750590D17D8736AB420CB9B_43</vt:lpwstr>
  </property>
  <property fmtid="{D5CDD505-2E9C-101B-9397-08002B2CF9AE}" pid="3" name="KSOProductBuildVer">
    <vt:lpwstr>2052-11.8.2.8411</vt:lpwstr>
  </property>
</Properties>
</file>