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ind w:left="0"/>
        <w:jc w:val="center"/>
        <w:rPr>
          <w:rFonts w:hint="eastAsia" w:ascii="宋体" w:hAnsi="宋体" w:eastAsia="宋体"/>
          <w:highlight w:val="none"/>
          <w:lang w:eastAsia="zh-CN"/>
        </w:rPr>
      </w:pPr>
      <w:bookmarkStart w:id="0" w:name="_GoBack"/>
      <w:bookmarkEnd w:id="0"/>
      <w:r>
        <w:rPr>
          <w:rFonts w:hint="eastAsia" w:ascii="宋体" w:hAnsi="宋体" w:eastAsia="宋体"/>
          <w:w w:val="95"/>
          <w:highlight w:val="none"/>
          <w:lang w:eastAsia="zh-CN"/>
        </w:rPr>
        <w:t>重庆</w:t>
      </w:r>
      <w:r>
        <w:rPr>
          <w:rFonts w:ascii="宋体" w:hAnsi="宋体" w:eastAsia="宋体"/>
          <w:w w:val="95"/>
          <w:highlight w:val="none"/>
          <w:lang w:eastAsia="zh-CN"/>
        </w:rPr>
        <w:t>银行理财产品</w:t>
      </w:r>
      <w:r>
        <w:rPr>
          <w:rFonts w:hint="eastAsia" w:ascii="宋体" w:hAnsi="宋体" w:eastAsia="宋体"/>
          <w:w w:val="95"/>
          <w:highlight w:val="none"/>
          <w:lang w:eastAsia="zh-CN"/>
        </w:rPr>
        <w:t>代理销售</w:t>
      </w:r>
      <w:r>
        <w:rPr>
          <w:rFonts w:ascii="宋体" w:hAnsi="宋体" w:eastAsia="宋体"/>
          <w:w w:val="95"/>
          <w:highlight w:val="none"/>
          <w:lang w:eastAsia="zh-CN"/>
        </w:rPr>
        <w:t>协议书</w:t>
      </w:r>
    </w:p>
    <w:p>
      <w:pPr>
        <w:spacing w:before="153"/>
        <w:ind w:left="114"/>
        <w:rPr>
          <w:rFonts w:hint="eastAsia" w:ascii="宋体" w:hAnsi="宋体" w:eastAsia="宋体"/>
          <w:sz w:val="18"/>
          <w:highlight w:val="none"/>
          <w:lang w:eastAsia="zh-CN"/>
        </w:rPr>
      </w:pPr>
      <w:r>
        <w:rPr>
          <w:rFonts w:ascii="宋体" w:hAnsi="宋体" w:eastAsia="宋体"/>
          <w:highlight w:val="none"/>
          <w:lang w:eastAsia="zh-CN"/>
        </w:rPr>
        <w:br w:type="column"/>
      </w:r>
    </w:p>
    <w:p>
      <w:pPr>
        <w:rPr>
          <w:rFonts w:hint="eastAsia" w:ascii="宋体" w:hAnsi="宋体" w:eastAsia="宋体"/>
          <w:sz w:val="18"/>
          <w:highlight w:val="none"/>
          <w:lang w:eastAsia="zh-CN"/>
        </w:rPr>
        <w:sectPr>
          <w:pgSz w:w="11910" w:h="16840"/>
          <w:pgMar w:top="1440" w:right="660" w:bottom="1440" w:left="1803" w:header="720" w:footer="720" w:gutter="0"/>
          <w:cols w:equalWidth="0" w:num="2">
            <w:col w:w="8169" w:space="383"/>
            <w:col w:w="895"/>
          </w:cols>
        </w:sectPr>
      </w:pPr>
    </w:p>
    <w:p>
      <w:pPr>
        <w:pStyle w:val="4"/>
        <w:spacing w:before="6"/>
        <w:ind w:left="0" w:firstLine="0"/>
        <w:rPr>
          <w:rFonts w:hint="eastAsia" w:ascii="宋体" w:hAnsi="宋体" w:eastAsia="宋体"/>
          <w:sz w:val="13"/>
          <w:highlight w:val="none"/>
          <w:lang w:eastAsia="zh-CN"/>
        </w:rPr>
      </w:pPr>
    </w:p>
    <w:p>
      <w:pPr>
        <w:pStyle w:val="2"/>
        <w:adjustRightInd w:val="0"/>
        <w:snapToGrid w:val="0"/>
        <w:spacing w:before="67" w:line="312" w:lineRule="auto"/>
        <w:ind w:left="0" w:right="220" w:rightChars="100" w:firstLine="554" w:firstLineChars="200"/>
        <w:contextualSpacing/>
        <w:rPr>
          <w:rFonts w:hint="eastAsia" w:ascii="宋体" w:hAnsi="宋体" w:eastAsia="宋体"/>
          <w:spacing w:val="-2"/>
          <w:sz w:val="28"/>
          <w:szCs w:val="28"/>
          <w:highlight w:val="none"/>
          <w:lang w:eastAsia="zh-CN"/>
        </w:rPr>
      </w:pPr>
      <w:r>
        <w:rPr>
          <w:rFonts w:ascii="宋体" w:hAnsi="宋体" w:eastAsia="宋体"/>
          <w:spacing w:val="-2"/>
          <w:sz w:val="28"/>
          <w:szCs w:val="28"/>
          <w:highlight w:val="none"/>
          <w:lang w:eastAsia="zh-CN"/>
        </w:rPr>
        <w:t>理财非存款、产品有风险、投资须</w:t>
      </w:r>
      <w:r>
        <w:rPr>
          <w:rFonts w:hint="eastAsia" w:ascii="宋体" w:hAnsi="宋体" w:eastAsia="宋体"/>
          <w:spacing w:val="-2"/>
          <w:sz w:val="28"/>
          <w:szCs w:val="28"/>
          <w:highlight w:val="none"/>
          <w:lang w:eastAsia="zh-CN"/>
        </w:rPr>
        <w:t>谨慎</w:t>
      </w:r>
    </w:p>
    <w:p>
      <w:pPr>
        <w:pStyle w:val="2"/>
        <w:adjustRightInd w:val="0"/>
        <w:snapToGrid w:val="0"/>
        <w:spacing w:before="67" w:line="312" w:lineRule="auto"/>
        <w:ind w:left="0" w:right="220" w:rightChars="100" w:firstLine="474" w:firstLineChars="200"/>
        <w:contextualSpacing/>
        <w:rPr>
          <w:rFonts w:hint="eastAsia" w:ascii="宋体" w:hAnsi="宋体" w:eastAsia="宋体" w:cs="宋体"/>
          <w:sz w:val="24"/>
          <w:szCs w:val="24"/>
          <w:highlight w:val="none"/>
          <w:lang w:eastAsia="zh-CN"/>
        </w:rPr>
      </w:pPr>
      <w:r>
        <w:rPr>
          <w:rFonts w:hint="eastAsia" w:ascii="宋体" w:hAnsi="宋体" w:eastAsia="宋体" w:cs="宋体"/>
          <w:spacing w:val="-2"/>
          <w:sz w:val="24"/>
          <w:szCs w:val="24"/>
          <w:highlight w:val="none"/>
          <w:lang w:eastAsia="zh-CN"/>
        </w:rPr>
        <w:t>一、重要申明</w:t>
      </w:r>
    </w:p>
    <w:p>
      <w:pPr>
        <w:pStyle w:val="4"/>
        <w:adjustRightInd w:val="0"/>
        <w:snapToGrid w:val="0"/>
        <w:spacing w:before="1" w:line="312" w:lineRule="auto"/>
        <w:ind w:left="0" w:right="220" w:rightChars="100" w:firstLine="424" w:firstLineChars="200"/>
        <w:contextualSpacing/>
        <w:jc w:val="both"/>
        <w:rPr>
          <w:rFonts w:hint="eastAsia" w:ascii="宋体" w:hAnsi="宋体" w:eastAsia="宋体" w:cs="宋体"/>
          <w:sz w:val="24"/>
          <w:szCs w:val="24"/>
          <w:highlight w:val="none"/>
          <w:lang w:eastAsia="zh-CN"/>
        </w:rPr>
      </w:pPr>
      <w:r>
        <w:rPr>
          <w:rFonts w:hint="eastAsia" w:ascii="宋体" w:hAnsi="宋体" w:eastAsia="宋体" w:cs="宋体"/>
          <w:spacing w:val="-2"/>
          <w:w w:val="90"/>
          <w:sz w:val="24"/>
          <w:szCs w:val="24"/>
          <w:highlight w:val="none"/>
          <w:lang w:eastAsia="zh-CN"/>
        </w:rPr>
        <w:t>1</w:t>
      </w:r>
      <w:r>
        <w:rPr>
          <w:rFonts w:hint="eastAsia" w:ascii="宋体" w:hAnsi="宋体" w:eastAsia="宋体" w:cs="宋体"/>
          <w:spacing w:val="-2"/>
          <w:sz w:val="24"/>
          <w:szCs w:val="24"/>
          <w:highlight w:val="none"/>
          <w:lang w:eastAsia="zh-CN"/>
        </w:rPr>
        <w:t>、《重庆银行理财产品代理销售协议书</w:t>
      </w:r>
      <w:r>
        <w:rPr>
          <w:rFonts w:hint="eastAsia" w:ascii="宋体" w:hAnsi="宋体" w:eastAsia="宋体" w:cs="宋体"/>
          <w:spacing w:val="-1"/>
          <w:sz w:val="24"/>
          <w:szCs w:val="24"/>
          <w:highlight w:val="none"/>
          <w:lang w:eastAsia="zh-CN"/>
        </w:rPr>
        <w:t>》为投资者购买重庆银行股份有限公司（以下简称“重庆银行”）代理销售的商业</w:t>
      </w:r>
      <w:r>
        <w:rPr>
          <w:rFonts w:hint="eastAsia" w:ascii="宋体" w:hAnsi="宋体" w:eastAsia="宋体" w:cs="宋体"/>
          <w:spacing w:val="-10"/>
          <w:sz w:val="24"/>
          <w:szCs w:val="24"/>
          <w:highlight w:val="none"/>
          <w:lang w:eastAsia="zh-CN"/>
        </w:rPr>
        <w:t>银行理财子公司理财产品的销售服务协议。投资者认购重庆银行代理销售的任一款商业银行理财子公司产品时，还需另行签署</w:t>
      </w:r>
      <w:r>
        <w:rPr>
          <w:rFonts w:hint="eastAsia" w:ascii="宋体" w:hAnsi="宋体" w:eastAsia="宋体" w:cs="宋体"/>
          <w:spacing w:val="-3"/>
          <w:sz w:val="24"/>
          <w:szCs w:val="24"/>
          <w:highlight w:val="none"/>
          <w:lang w:eastAsia="zh-CN"/>
        </w:rPr>
        <w:t>理财产品风险揭示书、理财产品投资协议书、理财产品说明书及投资者权益须知</w:t>
      </w:r>
      <w:r>
        <w:rPr>
          <w:rFonts w:hint="eastAsia" w:ascii="宋体" w:hAnsi="宋体" w:eastAsia="宋体" w:cs="宋体"/>
          <w:sz w:val="24"/>
          <w:szCs w:val="24"/>
          <w:highlight w:val="none"/>
          <w:lang w:eastAsia="zh-CN"/>
        </w:rPr>
        <w:t xml:space="preserve">。 </w:t>
      </w:r>
    </w:p>
    <w:p>
      <w:pPr>
        <w:pStyle w:val="4"/>
        <w:adjustRightInd w:val="0"/>
        <w:snapToGrid w:val="0"/>
        <w:spacing w:before="1" w:line="312" w:lineRule="auto"/>
        <w:ind w:left="0" w:right="220" w:rightChars="100" w:firstLine="516" w:firstLineChars="200"/>
        <w:contextualSpacing/>
        <w:jc w:val="both"/>
        <w:rPr>
          <w:rFonts w:hint="eastAsia" w:ascii="宋体" w:hAnsi="宋体" w:eastAsia="宋体" w:cs="宋体"/>
          <w:b/>
          <w:sz w:val="24"/>
          <w:szCs w:val="24"/>
          <w:highlight w:val="none"/>
          <w:lang w:eastAsia="zh-CN"/>
        </w:rPr>
      </w:pPr>
      <w:r>
        <w:rPr>
          <w:rFonts w:hint="eastAsia" w:ascii="宋体" w:hAnsi="宋体" w:eastAsia="宋体" w:cs="宋体"/>
          <w:bCs/>
          <w:spacing w:val="1"/>
          <w:w w:val="107"/>
          <w:sz w:val="24"/>
          <w:szCs w:val="24"/>
          <w:highlight w:val="none"/>
          <w:lang w:eastAsia="zh-CN"/>
        </w:rPr>
        <w:t>2</w:t>
      </w:r>
      <w:r>
        <w:rPr>
          <w:rFonts w:hint="eastAsia" w:ascii="宋体" w:hAnsi="宋体" w:eastAsia="宋体" w:cs="宋体"/>
          <w:bCs/>
          <w:spacing w:val="-1"/>
          <w:sz w:val="24"/>
          <w:szCs w:val="24"/>
          <w:highlight w:val="none"/>
          <w:lang w:eastAsia="zh-CN"/>
        </w:rPr>
        <w:t>、</w:t>
      </w:r>
      <w:r>
        <w:rPr>
          <w:rFonts w:hint="eastAsia" w:ascii="宋体" w:hAnsi="宋体" w:eastAsia="宋体" w:cs="宋体"/>
          <w:spacing w:val="-2"/>
          <w:sz w:val="24"/>
          <w:szCs w:val="24"/>
          <w:highlight w:val="none"/>
          <w:lang w:eastAsia="zh-CN"/>
        </w:rPr>
        <w:t>投资者在投资理财前应仔细阅读理财产品销售文件</w:t>
      </w:r>
      <w:r>
        <w:rPr>
          <w:rFonts w:hint="eastAsia" w:ascii="宋体" w:hAnsi="宋体" w:eastAsia="宋体" w:cs="宋体"/>
          <w:spacing w:val="-1"/>
          <w:sz w:val="24"/>
          <w:szCs w:val="24"/>
          <w:highlight w:val="none"/>
          <w:lang w:eastAsia="zh-CN"/>
        </w:rPr>
        <w:t>（</w:t>
      </w:r>
      <w:r>
        <w:rPr>
          <w:rFonts w:hint="eastAsia" w:ascii="宋体" w:hAnsi="宋体" w:eastAsia="宋体" w:cs="宋体"/>
          <w:spacing w:val="-2"/>
          <w:sz w:val="24"/>
          <w:szCs w:val="24"/>
          <w:highlight w:val="none"/>
          <w:lang w:eastAsia="zh-CN"/>
        </w:rPr>
        <w:t>包括本协议以及理财产品风险揭示书、理财产品投资协议书、理财产品说明书及投资者权益须知</w:t>
      </w:r>
      <w:r>
        <w:rPr>
          <w:rFonts w:hint="eastAsia" w:ascii="宋体" w:hAnsi="宋体" w:eastAsia="宋体" w:cs="宋体"/>
          <w:spacing w:val="-1"/>
          <w:sz w:val="24"/>
          <w:szCs w:val="24"/>
          <w:highlight w:val="none"/>
          <w:lang w:eastAsia="zh-CN"/>
        </w:rPr>
        <w:t>），并在购买理财产品后关注定期报告及相关公告情况，充分全面</w:t>
      </w:r>
      <w:r>
        <w:rPr>
          <w:rFonts w:hint="eastAsia" w:ascii="宋体" w:hAnsi="宋体" w:eastAsia="宋体" w:cs="宋体"/>
          <w:spacing w:val="-5"/>
          <w:sz w:val="24"/>
          <w:szCs w:val="24"/>
          <w:highlight w:val="none"/>
          <w:lang w:eastAsia="zh-CN"/>
        </w:rPr>
        <w:t>了解理财产品的具体情况和投资风险。投资者在办理相关理财业务过程中可在</w:t>
      </w:r>
      <w:r>
        <w:rPr>
          <w:rFonts w:hint="eastAsia" w:ascii="宋体" w:hAnsi="宋体" w:eastAsia="宋体" w:cs="宋体"/>
          <w:spacing w:val="-5"/>
          <w:sz w:val="24"/>
          <w:szCs w:val="24"/>
          <w:highlight w:val="none"/>
          <w:lang w:val="en-US" w:eastAsia="zh-CN"/>
        </w:rPr>
        <w:t>www.cqcbank.com</w:t>
      </w:r>
      <w:r>
        <w:rPr>
          <w:rFonts w:hint="eastAsia" w:ascii="宋体" w:hAnsi="宋体" w:eastAsia="宋体" w:cs="宋体"/>
          <w:spacing w:val="-2"/>
          <w:sz w:val="24"/>
          <w:szCs w:val="24"/>
          <w:highlight w:val="none"/>
          <w:lang w:eastAsia="zh-CN"/>
        </w:rPr>
        <w:t>查阅上述材料。</w:t>
      </w:r>
    </w:p>
    <w:p>
      <w:pPr>
        <w:pStyle w:val="4"/>
        <w:adjustRightInd w:val="0"/>
        <w:snapToGrid w:val="0"/>
        <w:spacing w:before="1" w:line="312" w:lineRule="auto"/>
        <w:ind w:left="0" w:right="220" w:rightChars="100" w:firstLine="516" w:firstLineChars="200"/>
        <w:contextualSpacing/>
        <w:jc w:val="both"/>
        <w:rPr>
          <w:rFonts w:hint="eastAsia" w:ascii="宋体" w:hAnsi="宋体" w:eastAsia="宋体" w:cs="宋体"/>
          <w:b/>
          <w:spacing w:val="-3"/>
          <w:sz w:val="24"/>
          <w:szCs w:val="24"/>
          <w:highlight w:val="none"/>
          <w:lang w:eastAsia="zh-CN"/>
        </w:rPr>
      </w:pPr>
      <w:r>
        <w:rPr>
          <w:rFonts w:hint="eastAsia" w:ascii="宋体" w:hAnsi="宋体" w:eastAsia="宋体" w:cs="宋体"/>
          <w:bCs/>
          <w:spacing w:val="1"/>
          <w:w w:val="107"/>
          <w:sz w:val="24"/>
          <w:szCs w:val="24"/>
          <w:highlight w:val="none"/>
          <w:lang w:eastAsia="zh-CN"/>
        </w:rPr>
        <w:t>3</w:t>
      </w:r>
      <w:r>
        <w:rPr>
          <w:rFonts w:hint="eastAsia" w:ascii="宋体" w:hAnsi="宋体" w:eastAsia="宋体" w:cs="宋体"/>
          <w:bCs/>
          <w:spacing w:val="-1"/>
          <w:sz w:val="24"/>
          <w:szCs w:val="24"/>
          <w:highlight w:val="none"/>
          <w:lang w:eastAsia="zh-CN"/>
        </w:rPr>
        <w:t>、</w:t>
      </w:r>
      <w:r>
        <w:rPr>
          <w:rFonts w:hint="eastAsia" w:ascii="宋体" w:hAnsi="宋体" w:eastAsia="宋体" w:cs="宋体"/>
          <w:spacing w:val="-3"/>
          <w:sz w:val="24"/>
          <w:szCs w:val="24"/>
          <w:highlight w:val="none"/>
          <w:lang w:eastAsia="zh-CN"/>
        </w:rPr>
        <w:t>根据代理销售的理财产品的投资范围、投资资产比例、流动性等，重庆银行代理销售的理财产品风险评级</w:t>
      </w:r>
      <w:r>
        <w:rPr>
          <w:rFonts w:hint="eastAsia" w:ascii="宋体" w:hAnsi="宋体" w:eastAsia="宋体" w:cs="宋体"/>
          <w:spacing w:val="-3"/>
          <w:sz w:val="24"/>
          <w:szCs w:val="24"/>
          <w:highlight w:val="none"/>
          <w:lang w:val="en-US" w:eastAsia="zh-CN"/>
        </w:rPr>
        <w:t>分</w:t>
      </w:r>
      <w:r>
        <w:rPr>
          <w:rFonts w:hint="eastAsia" w:ascii="宋体" w:hAnsi="宋体" w:eastAsia="宋体" w:cs="宋体"/>
          <w:spacing w:val="-3"/>
          <w:sz w:val="24"/>
          <w:szCs w:val="24"/>
          <w:highlight w:val="none"/>
          <w:lang w:eastAsia="zh-CN"/>
        </w:rPr>
        <w:t>为低风险产品（PR1）、</w:t>
      </w:r>
      <w:r>
        <w:rPr>
          <w:rFonts w:hint="eastAsia" w:ascii="宋体" w:hAnsi="宋体" w:eastAsia="宋体" w:cs="宋体"/>
          <w:spacing w:val="-3"/>
          <w:sz w:val="24"/>
          <w:szCs w:val="24"/>
          <w:highlight w:val="none"/>
          <w:lang w:val="en-US" w:eastAsia="zh-CN"/>
        </w:rPr>
        <w:t>中</w:t>
      </w:r>
      <w:r>
        <w:rPr>
          <w:rFonts w:hint="eastAsia" w:ascii="宋体" w:hAnsi="宋体" w:eastAsia="宋体" w:cs="宋体"/>
          <w:spacing w:val="-3"/>
          <w:sz w:val="24"/>
          <w:szCs w:val="24"/>
          <w:highlight w:val="none"/>
          <w:lang w:eastAsia="zh-CN"/>
        </w:rPr>
        <w:t>低风险产品（PR2）、中风险产品（PR3）、</w:t>
      </w:r>
      <w:r>
        <w:rPr>
          <w:rFonts w:hint="eastAsia" w:ascii="宋体" w:hAnsi="宋体" w:eastAsia="宋体" w:cs="宋体"/>
          <w:spacing w:val="-3"/>
          <w:sz w:val="24"/>
          <w:szCs w:val="24"/>
          <w:highlight w:val="none"/>
          <w:lang w:val="en-US" w:eastAsia="zh-CN"/>
        </w:rPr>
        <w:t>中</w:t>
      </w:r>
      <w:r>
        <w:rPr>
          <w:rFonts w:hint="eastAsia" w:ascii="宋体" w:hAnsi="宋体" w:eastAsia="宋体" w:cs="宋体"/>
          <w:spacing w:val="-3"/>
          <w:sz w:val="24"/>
          <w:szCs w:val="24"/>
          <w:highlight w:val="none"/>
          <w:lang w:eastAsia="zh-CN"/>
        </w:rPr>
        <w:t>高风险产品（PR4）、高风险产品（PR5）</w:t>
      </w:r>
      <w:r>
        <w:rPr>
          <w:rFonts w:hint="eastAsia" w:ascii="宋体" w:hAnsi="宋体" w:eastAsia="宋体" w:cs="宋体"/>
          <w:spacing w:val="-4"/>
          <w:sz w:val="24"/>
          <w:szCs w:val="24"/>
          <w:highlight w:val="none"/>
          <w:lang w:eastAsia="zh-CN"/>
        </w:rPr>
        <w:t>。</w:t>
      </w:r>
      <w:r>
        <w:rPr>
          <w:rFonts w:hint="eastAsia" w:ascii="宋体" w:hAnsi="宋体" w:eastAsia="宋体" w:cs="宋体"/>
          <w:b/>
          <w:spacing w:val="-3"/>
          <w:sz w:val="24"/>
          <w:szCs w:val="24"/>
          <w:highlight w:val="none"/>
          <w:lang w:eastAsia="zh-CN"/>
        </w:rPr>
        <w:t>除非与重庆银行在营业网点当面书面约定，</w:t>
      </w:r>
      <w:r>
        <w:rPr>
          <w:rFonts w:hint="eastAsia" w:ascii="宋体" w:hAnsi="宋体" w:eastAsia="宋体" w:cs="宋体"/>
          <w:b/>
          <w:spacing w:val="-4"/>
          <w:sz w:val="24"/>
          <w:szCs w:val="24"/>
          <w:highlight w:val="none"/>
          <w:lang w:eastAsia="zh-CN"/>
        </w:rPr>
        <w:t>个人投资者不得</w:t>
      </w:r>
      <w:r>
        <w:rPr>
          <w:rFonts w:hint="eastAsia" w:ascii="宋体" w:hAnsi="宋体" w:eastAsia="宋体" w:cs="宋体"/>
          <w:b/>
          <w:spacing w:val="-2"/>
          <w:sz w:val="24"/>
          <w:szCs w:val="24"/>
          <w:highlight w:val="none"/>
          <w:lang w:eastAsia="zh-CN"/>
        </w:rPr>
        <w:t>购买理财产品风险评级为</w:t>
      </w:r>
      <w:r>
        <w:rPr>
          <w:rFonts w:hint="eastAsia" w:ascii="宋体" w:hAnsi="宋体" w:eastAsia="宋体" w:cs="宋体"/>
          <w:b/>
          <w:spacing w:val="-3"/>
          <w:sz w:val="24"/>
          <w:szCs w:val="24"/>
          <w:highlight w:val="none"/>
          <w:lang w:val="en-US" w:eastAsia="zh-CN"/>
        </w:rPr>
        <w:t>中高风险（PR4）</w:t>
      </w:r>
      <w:r>
        <w:rPr>
          <w:rFonts w:hint="eastAsia" w:ascii="宋体" w:hAnsi="宋体" w:eastAsia="宋体" w:cs="宋体"/>
          <w:b/>
          <w:spacing w:val="-1"/>
          <w:sz w:val="24"/>
          <w:szCs w:val="24"/>
          <w:highlight w:val="none"/>
          <w:lang w:eastAsia="zh-CN"/>
        </w:rPr>
        <w:t>（含</w:t>
      </w:r>
      <w:r>
        <w:rPr>
          <w:rFonts w:hint="eastAsia" w:ascii="宋体" w:hAnsi="宋体" w:eastAsia="宋体" w:cs="宋体"/>
          <w:b/>
          <w:spacing w:val="-8"/>
          <w:sz w:val="24"/>
          <w:szCs w:val="24"/>
          <w:highlight w:val="none"/>
          <w:lang w:eastAsia="zh-CN"/>
        </w:rPr>
        <w:t>）</w:t>
      </w:r>
      <w:r>
        <w:rPr>
          <w:rFonts w:hint="eastAsia" w:ascii="宋体" w:hAnsi="宋体" w:eastAsia="宋体" w:cs="宋体"/>
          <w:b/>
          <w:spacing w:val="-1"/>
          <w:sz w:val="24"/>
          <w:szCs w:val="24"/>
          <w:highlight w:val="none"/>
          <w:lang w:eastAsia="zh-CN"/>
        </w:rPr>
        <w:t>以上的产</w:t>
      </w:r>
      <w:r>
        <w:rPr>
          <w:rFonts w:hint="eastAsia" w:ascii="宋体" w:hAnsi="宋体" w:eastAsia="宋体" w:cs="宋体"/>
          <w:b/>
          <w:spacing w:val="-3"/>
          <w:sz w:val="24"/>
          <w:szCs w:val="24"/>
          <w:highlight w:val="none"/>
          <w:lang w:eastAsia="zh-CN"/>
        </w:rPr>
        <w:t>品。</w:t>
      </w:r>
    </w:p>
    <w:p>
      <w:pPr>
        <w:pStyle w:val="4"/>
        <w:adjustRightInd w:val="0"/>
        <w:snapToGrid w:val="0"/>
        <w:spacing w:before="1" w:line="312" w:lineRule="auto"/>
        <w:ind w:left="0" w:right="220" w:rightChars="100" w:firstLine="468" w:firstLineChars="200"/>
        <w:contextualSpacing/>
        <w:jc w:val="both"/>
        <w:rPr>
          <w:rFonts w:hint="eastAsia" w:ascii="宋体" w:hAnsi="宋体" w:eastAsia="宋体" w:cs="宋体"/>
          <w:spacing w:val="-3"/>
          <w:sz w:val="24"/>
          <w:szCs w:val="24"/>
          <w:highlight w:val="none"/>
          <w:lang w:eastAsia="zh-CN"/>
        </w:rPr>
      </w:pPr>
      <w:r>
        <w:rPr>
          <w:rFonts w:hint="eastAsia" w:ascii="宋体" w:hAnsi="宋体" w:eastAsia="宋体" w:cs="宋体"/>
          <w:spacing w:val="-3"/>
          <w:sz w:val="24"/>
          <w:szCs w:val="24"/>
          <w:highlight w:val="none"/>
          <w:lang w:eastAsia="zh-CN"/>
        </w:rPr>
        <w:t>4、投资者购买的理财产品通过重庆银行渠道代理销售的，理财产品风险评级应当以重庆银行最终披露的评级结果为准。商业银行理财子公司与重庆银行的产品风险评级结果不一致的，重庆银行应当按照孰高原则采用并披露评级结果。重庆银行根据商业银行理财子公司通知及时披露风险等级变动情况，并根据产品及投资者信息变化情况，主动调整适当性匹配意见，及时告知投资者。</w:t>
      </w:r>
    </w:p>
    <w:p>
      <w:pPr>
        <w:pStyle w:val="4"/>
        <w:adjustRightInd w:val="0"/>
        <w:snapToGrid w:val="0"/>
        <w:spacing w:before="1" w:line="312" w:lineRule="auto"/>
        <w:ind w:left="0" w:right="220" w:rightChars="100" w:firstLine="468" w:firstLineChars="200"/>
        <w:contextualSpacing/>
        <w:jc w:val="both"/>
        <w:rPr>
          <w:rFonts w:hint="eastAsia" w:ascii="宋体" w:hAnsi="宋体" w:eastAsia="宋体" w:cs="宋体"/>
          <w:b/>
          <w:spacing w:val="-3"/>
          <w:sz w:val="24"/>
          <w:szCs w:val="24"/>
          <w:highlight w:val="none"/>
          <w:lang w:eastAsia="zh-CN"/>
        </w:rPr>
      </w:pPr>
      <w:r>
        <w:rPr>
          <w:rFonts w:hint="eastAsia" w:ascii="宋体" w:hAnsi="宋体" w:eastAsia="宋体" w:cs="宋体"/>
          <w:spacing w:val="-3"/>
          <w:sz w:val="24"/>
          <w:szCs w:val="24"/>
          <w:highlight w:val="none"/>
          <w:lang w:eastAsia="zh-CN"/>
        </w:rPr>
        <w:t>5、投资者应当准确定位自身的投资预期及风险承受能力，确保投资行为与自身的风险承受能力相匹配，不得购买高于自身风险承受能力的理财产品。重庆银行履行投资者评估、适当性匹配等适当性义务。</w:t>
      </w:r>
      <w:r>
        <w:rPr>
          <w:rFonts w:hint="eastAsia" w:ascii="宋体" w:hAnsi="宋体" w:eastAsia="宋体" w:cs="宋体"/>
          <w:b/>
          <w:bCs/>
          <w:spacing w:val="-3"/>
          <w:sz w:val="24"/>
          <w:szCs w:val="24"/>
          <w:highlight w:val="none"/>
          <w:lang w:eastAsia="zh-CN"/>
        </w:rPr>
        <w:t>投资者如超过一年未进行风险承受能力评估或发生可能影响自身风险承受能力情况的，请及时在重庆银行重新完成风险承受能力评估</w:t>
      </w:r>
      <w:r>
        <w:rPr>
          <w:rFonts w:hint="eastAsia" w:ascii="宋体" w:hAnsi="宋体" w:eastAsia="宋体" w:cs="宋体"/>
          <w:b/>
          <w:bCs/>
          <w:spacing w:val="-3"/>
          <w:sz w:val="24"/>
          <w:szCs w:val="24"/>
          <w:highlight w:val="none"/>
          <w:lang w:val="en-US" w:eastAsia="zh-CN"/>
        </w:rPr>
        <w:t>并</w:t>
      </w:r>
      <w:r>
        <w:rPr>
          <w:rFonts w:hint="eastAsia" w:ascii="宋体" w:hAnsi="宋体" w:eastAsia="宋体" w:cs="宋体"/>
          <w:b/>
          <w:bCs/>
          <w:spacing w:val="-3"/>
          <w:sz w:val="24"/>
          <w:szCs w:val="24"/>
          <w:highlight w:val="none"/>
          <w:lang w:eastAsia="zh-CN"/>
        </w:rPr>
        <w:t>确认评估结果。重庆银行对投资者进行风险承受能力评估单日不得超过两次，十二个月内累计不得超过八次。投资者风险承受能力评估等级与最近一次结果不一致的，经重庆银行对投资者进行提示，请投资者对变动情况再次确认。</w:t>
      </w:r>
    </w:p>
    <w:p>
      <w:pPr>
        <w:pStyle w:val="4"/>
        <w:adjustRightInd w:val="0"/>
        <w:snapToGrid w:val="0"/>
        <w:spacing w:before="1" w:line="312" w:lineRule="auto"/>
        <w:ind w:left="0" w:right="220" w:rightChars="100" w:firstLine="470" w:firstLineChars="200"/>
        <w:contextualSpacing/>
        <w:jc w:val="both"/>
        <w:rPr>
          <w:rFonts w:hint="eastAsia" w:ascii="宋体" w:hAnsi="宋体" w:eastAsia="宋体" w:cs="宋体"/>
          <w:b/>
          <w:spacing w:val="-3"/>
          <w:sz w:val="24"/>
          <w:szCs w:val="24"/>
          <w:highlight w:val="none"/>
          <w:lang w:eastAsia="zh-CN"/>
        </w:rPr>
      </w:pPr>
      <w:r>
        <w:rPr>
          <w:rFonts w:hint="eastAsia" w:ascii="宋体" w:hAnsi="宋体" w:eastAsia="宋体" w:cs="宋体"/>
          <w:b/>
          <w:spacing w:val="-3"/>
          <w:sz w:val="24"/>
          <w:szCs w:val="24"/>
          <w:highlight w:val="none"/>
          <w:lang w:eastAsia="zh-CN"/>
        </w:rPr>
        <w:t>6、无民事行为能力人不得购买重庆银行渠道代理销售的理财产品。经法定代理人同意的，限制民事行为能力人仅可购买重庆银行渠道代理销售的低风险理财产品。对于六十五周岁以上的老年人，</w:t>
      </w:r>
      <w:r>
        <w:rPr>
          <w:rFonts w:hint="eastAsia" w:ascii="宋体" w:hAnsi="宋体" w:eastAsia="宋体" w:cs="宋体"/>
          <w:b/>
          <w:spacing w:val="-3"/>
          <w:sz w:val="24"/>
          <w:szCs w:val="24"/>
          <w:highlight w:val="none"/>
          <w:lang w:val="en-US" w:eastAsia="zh-CN"/>
        </w:rPr>
        <w:t>如果其风评结果为平衡型（含）及以上，</w:t>
      </w:r>
      <w:r>
        <w:rPr>
          <w:rFonts w:hint="eastAsia" w:ascii="宋体" w:hAnsi="宋体" w:eastAsia="宋体" w:cs="宋体"/>
          <w:b/>
          <w:spacing w:val="-3"/>
          <w:sz w:val="24"/>
          <w:szCs w:val="24"/>
          <w:highlight w:val="none"/>
          <w:lang w:eastAsia="zh-CN"/>
        </w:rPr>
        <w:t>重庆银行将</w:t>
      </w:r>
      <w:r>
        <w:rPr>
          <w:rFonts w:hint="eastAsia" w:ascii="宋体" w:hAnsi="宋体" w:eastAsia="宋体" w:cs="宋体"/>
          <w:b/>
          <w:spacing w:val="-3"/>
          <w:sz w:val="24"/>
          <w:szCs w:val="24"/>
          <w:highlight w:val="none"/>
          <w:lang w:val="en-US" w:eastAsia="zh-CN"/>
        </w:rPr>
        <w:t>对其风评结果调整为稳健型</w:t>
      </w:r>
      <w:r>
        <w:rPr>
          <w:rFonts w:hint="eastAsia" w:ascii="宋体" w:hAnsi="宋体" w:eastAsia="宋体" w:cs="宋体"/>
          <w:b/>
          <w:spacing w:val="-3"/>
          <w:sz w:val="24"/>
          <w:szCs w:val="24"/>
          <w:highlight w:val="none"/>
          <w:lang w:eastAsia="zh-CN"/>
        </w:rPr>
        <w:t>。</w:t>
      </w:r>
    </w:p>
    <w:p>
      <w:pPr>
        <w:pStyle w:val="4"/>
        <w:adjustRightInd w:val="0"/>
        <w:snapToGrid w:val="0"/>
        <w:spacing w:before="1" w:line="312" w:lineRule="auto"/>
        <w:ind w:left="0" w:right="220" w:rightChars="100" w:firstLine="468" w:firstLineChars="200"/>
        <w:contextualSpacing/>
        <w:jc w:val="both"/>
        <w:rPr>
          <w:rFonts w:hint="eastAsia" w:ascii="宋体" w:hAnsi="宋体" w:eastAsia="宋体" w:cs="宋体"/>
          <w:spacing w:val="-3"/>
          <w:sz w:val="24"/>
          <w:szCs w:val="24"/>
          <w:highlight w:val="none"/>
          <w:lang w:eastAsia="zh-CN"/>
        </w:rPr>
      </w:pPr>
      <w:r>
        <w:rPr>
          <w:rFonts w:hint="eastAsia" w:ascii="宋体" w:hAnsi="宋体" w:eastAsia="宋体" w:cs="宋体"/>
          <w:spacing w:val="-3"/>
          <w:sz w:val="24"/>
          <w:szCs w:val="24"/>
          <w:highlight w:val="none"/>
          <w:lang w:eastAsia="zh-CN"/>
        </w:rPr>
        <w:t>7、投资者保证投资资金来源合法且为本人自有金，不存在使用贷款、发行债券等筹集的非自有资金投资的情况，投资行为符合法律、法规及相关监管部门的规定。</w:t>
      </w:r>
    </w:p>
    <w:p>
      <w:pPr>
        <w:pStyle w:val="4"/>
        <w:adjustRightInd w:val="0"/>
        <w:snapToGrid w:val="0"/>
        <w:spacing w:before="1" w:line="312" w:lineRule="auto"/>
        <w:ind w:left="0" w:right="220" w:rightChars="100" w:firstLine="470" w:firstLineChars="200"/>
        <w:contextualSpacing/>
        <w:jc w:val="both"/>
        <w:rPr>
          <w:rFonts w:hint="eastAsia" w:ascii="宋体" w:hAnsi="宋体" w:eastAsia="宋体" w:cs="宋体"/>
          <w:b/>
          <w:bCs/>
          <w:spacing w:val="-3"/>
          <w:sz w:val="24"/>
          <w:szCs w:val="24"/>
          <w:highlight w:val="none"/>
          <w:lang w:eastAsia="zh-CN"/>
        </w:rPr>
      </w:pPr>
      <w:r>
        <w:rPr>
          <w:rFonts w:hint="eastAsia" w:ascii="宋体" w:hAnsi="宋体" w:eastAsia="宋体" w:cs="宋体"/>
          <w:b/>
          <w:bCs/>
          <w:spacing w:val="-3"/>
          <w:sz w:val="24"/>
          <w:szCs w:val="24"/>
          <w:highlight w:val="none"/>
          <w:lang w:eastAsia="zh-CN"/>
        </w:rPr>
        <w:t>8、投资者承诺所提供的所有资料真实、完整、合法、有效，如有变更，投资者应及时到重庆银行办理变更手续。若投资者未及时办理相关变更手续，由此导致的一切后果由投资者自行承担，重庆银行对此不承担任何责任。</w:t>
      </w:r>
    </w:p>
    <w:p>
      <w:pPr>
        <w:pStyle w:val="4"/>
        <w:adjustRightInd w:val="0"/>
        <w:snapToGrid w:val="0"/>
        <w:spacing w:before="1" w:line="312" w:lineRule="auto"/>
        <w:ind w:left="0" w:right="220" w:rightChars="100" w:firstLine="470" w:firstLineChars="200"/>
        <w:contextualSpacing/>
        <w:jc w:val="both"/>
        <w:rPr>
          <w:rFonts w:hint="eastAsia" w:ascii="宋体" w:hAnsi="宋体" w:eastAsia="宋体" w:cs="宋体"/>
          <w:b/>
          <w:bCs/>
          <w:spacing w:val="-3"/>
          <w:sz w:val="24"/>
          <w:szCs w:val="24"/>
          <w:highlight w:val="none"/>
          <w:lang w:eastAsia="zh-CN"/>
        </w:rPr>
      </w:pPr>
      <w:r>
        <w:rPr>
          <w:rFonts w:hint="eastAsia" w:ascii="宋体" w:hAnsi="宋体" w:eastAsia="宋体" w:cs="宋体"/>
          <w:b/>
          <w:bCs/>
          <w:spacing w:val="-3"/>
          <w:sz w:val="24"/>
          <w:szCs w:val="24"/>
          <w:highlight w:val="none"/>
          <w:lang w:eastAsia="zh-CN"/>
        </w:rPr>
        <w:t>9、因投资者指定资金账户资金余额不足或处于非正常状态（包括但不限于挂失、冻结、销户等状态）导致重庆银行无法按时办理扣款或到期理财资金及收益无法入账，或者引起其他一切风险与损失的，均由投资者自行承担，重庆银行不承担责任。</w:t>
      </w:r>
    </w:p>
    <w:p>
      <w:pPr>
        <w:pStyle w:val="4"/>
        <w:adjustRightInd w:val="0"/>
        <w:snapToGrid w:val="0"/>
        <w:spacing w:before="1" w:line="312" w:lineRule="auto"/>
        <w:ind w:left="0" w:right="220" w:rightChars="100" w:firstLine="470" w:firstLineChars="200"/>
        <w:contextualSpacing/>
        <w:jc w:val="both"/>
        <w:rPr>
          <w:rFonts w:hint="eastAsia" w:ascii="宋体" w:hAnsi="宋体" w:eastAsia="宋体" w:cs="宋体"/>
          <w:b/>
          <w:bCs/>
          <w:spacing w:val="-3"/>
          <w:sz w:val="24"/>
          <w:szCs w:val="24"/>
          <w:highlight w:val="none"/>
          <w:lang w:eastAsia="zh-CN"/>
        </w:rPr>
      </w:pPr>
      <w:r>
        <w:rPr>
          <w:rFonts w:hint="eastAsia" w:ascii="宋体" w:hAnsi="宋体" w:eastAsia="宋体" w:cs="宋体"/>
          <w:b/>
          <w:bCs/>
          <w:spacing w:val="-3"/>
          <w:sz w:val="24"/>
          <w:szCs w:val="24"/>
          <w:highlight w:val="none"/>
          <w:lang w:eastAsia="zh-CN"/>
        </w:rPr>
        <w:t>10、投资者通过重庆银行重庆等渠道成功提交的委托申请，仅代表重庆银行代理商业银行理财子公司受理了该笔委托，交易最终成功与否以商业银行理财子公司确认为准，投资者应于理财产品交易确认日后的次日通过重庆银行重庆等渠道查询确认情况。由于投资者未及时查询交易确认情况而导致的投资损失，由投资者自行承担。</w:t>
      </w:r>
    </w:p>
    <w:p>
      <w:pPr>
        <w:pStyle w:val="4"/>
        <w:adjustRightInd w:val="0"/>
        <w:snapToGrid w:val="0"/>
        <w:spacing w:before="1" w:line="312" w:lineRule="auto"/>
        <w:ind w:left="0" w:right="220" w:rightChars="100" w:firstLine="470" w:firstLineChars="200"/>
        <w:contextualSpacing/>
        <w:jc w:val="both"/>
        <w:rPr>
          <w:rFonts w:hint="eastAsia" w:ascii="宋体" w:hAnsi="宋体" w:eastAsia="宋体" w:cs="宋体"/>
          <w:spacing w:val="-3"/>
          <w:sz w:val="24"/>
          <w:szCs w:val="24"/>
          <w:highlight w:val="none"/>
          <w:lang w:eastAsia="zh-CN"/>
        </w:rPr>
      </w:pPr>
      <w:r>
        <w:rPr>
          <w:rFonts w:hint="eastAsia" w:ascii="宋体" w:hAnsi="宋体" w:eastAsia="宋体" w:cs="宋体"/>
          <w:b/>
          <w:bCs/>
          <w:spacing w:val="-3"/>
          <w:sz w:val="24"/>
          <w:szCs w:val="24"/>
          <w:highlight w:val="none"/>
          <w:lang w:eastAsia="zh-CN"/>
        </w:rPr>
        <w:t>11、投资者应当配合重庆银行开展反洗钱、反恐怖融资、反大规模杀伤性武器扩散融资及非居民金融账户涉税信息尽职调查等工作，并向重庆银行提供投资者身份信息及法律法规规定的其他信息。投资者授权同意重庆银行作为代理销售机构有权通过加密安全的方式将投资者的交易记录、风险承受能力评估、姓名、身份证号码等投资者信息和交易资料及法律法规规定的其他信息提供给商业银行理财子公司、中国银行业理财信息登记中心、中国人民银行</w:t>
      </w:r>
      <w:r>
        <w:rPr>
          <w:rFonts w:hint="eastAsia" w:ascii="宋体" w:hAnsi="宋体" w:eastAsia="宋体" w:cs="宋体"/>
          <w:b/>
          <w:bCs/>
          <w:spacing w:val="-3"/>
          <w:sz w:val="24"/>
          <w:szCs w:val="24"/>
          <w:highlight w:val="none"/>
          <w:lang w:val="en-US" w:eastAsia="zh-CN"/>
        </w:rPr>
        <w:t>或</w:t>
      </w:r>
      <w:r>
        <w:rPr>
          <w:rFonts w:hint="eastAsia" w:ascii="宋体" w:hAnsi="宋体" w:eastAsia="宋体" w:cs="宋体"/>
          <w:b/>
          <w:bCs/>
          <w:spacing w:val="-3"/>
          <w:sz w:val="24"/>
          <w:szCs w:val="24"/>
          <w:highlight w:val="none"/>
          <w:lang w:eastAsia="zh-CN"/>
        </w:rPr>
        <w:t>国家金融监督管理总局及其派出机构等监管机构以履行反洗钱、反恐怖融资及非居民金融账户涉税信息尽职调查等金融机构法定义务。同时，重庆银行将通过加密安全的方式从商业银行理财子公司处获取投资者的相关交易信息，以满足交易查询等业务需求。</w:t>
      </w:r>
    </w:p>
    <w:p>
      <w:pPr>
        <w:pStyle w:val="4"/>
        <w:adjustRightInd w:val="0"/>
        <w:snapToGrid w:val="0"/>
        <w:spacing w:before="1" w:line="312" w:lineRule="auto"/>
        <w:ind w:left="0" w:right="220" w:rightChars="100" w:firstLine="468" w:firstLineChars="200"/>
        <w:contextualSpacing/>
        <w:jc w:val="both"/>
        <w:rPr>
          <w:rFonts w:hint="eastAsia" w:ascii="宋体" w:hAnsi="宋体" w:eastAsia="宋体" w:cs="宋体"/>
          <w:spacing w:val="-3"/>
          <w:sz w:val="24"/>
          <w:szCs w:val="24"/>
          <w:highlight w:val="none"/>
          <w:lang w:eastAsia="zh-CN"/>
        </w:rPr>
      </w:pPr>
      <w:r>
        <w:rPr>
          <w:rFonts w:hint="eastAsia" w:ascii="宋体" w:hAnsi="宋体" w:eastAsia="宋体" w:cs="宋体"/>
          <w:spacing w:val="-3"/>
          <w:sz w:val="24"/>
          <w:szCs w:val="24"/>
          <w:highlight w:val="none"/>
          <w:lang w:eastAsia="zh-CN"/>
        </w:rPr>
        <w:t>12、重庆银行信息披露渠道为</w:t>
      </w:r>
      <w:r>
        <w:rPr>
          <w:rFonts w:hint="eastAsia" w:ascii="宋体" w:hAnsi="宋体" w:eastAsia="宋体" w:cs="宋体"/>
          <w:spacing w:val="-5"/>
          <w:sz w:val="24"/>
          <w:szCs w:val="24"/>
          <w:highlight w:val="none"/>
          <w:lang w:val="en-US" w:eastAsia="zh-CN"/>
        </w:rPr>
        <w:t>www.cqcbank.com</w:t>
      </w:r>
      <w:r>
        <w:rPr>
          <w:rFonts w:hint="eastAsia" w:ascii="宋体" w:hAnsi="宋体" w:eastAsia="宋体" w:cs="宋体"/>
          <w:spacing w:val="-3"/>
          <w:sz w:val="24"/>
          <w:szCs w:val="24"/>
          <w:highlight w:val="none"/>
          <w:lang w:eastAsia="zh-CN"/>
        </w:rPr>
        <w:t>。</w:t>
      </w:r>
    </w:p>
    <w:p>
      <w:pPr>
        <w:pStyle w:val="4"/>
        <w:adjustRightInd w:val="0"/>
        <w:snapToGrid w:val="0"/>
        <w:spacing w:before="1" w:line="312" w:lineRule="auto"/>
        <w:ind w:left="0" w:right="220" w:rightChars="100" w:firstLine="470" w:firstLineChars="200"/>
        <w:contextualSpacing/>
        <w:jc w:val="both"/>
        <w:rPr>
          <w:rFonts w:hint="eastAsia" w:ascii="宋体" w:hAnsi="宋体" w:eastAsia="宋体" w:cs="宋体"/>
          <w:b/>
          <w:bCs/>
          <w:spacing w:val="-3"/>
          <w:sz w:val="24"/>
          <w:szCs w:val="24"/>
          <w:highlight w:val="none"/>
          <w:lang w:eastAsia="zh-CN"/>
        </w:rPr>
      </w:pPr>
      <w:r>
        <w:rPr>
          <w:rFonts w:hint="eastAsia" w:ascii="宋体" w:hAnsi="宋体" w:eastAsia="宋体" w:cs="宋体"/>
          <w:b/>
          <w:bCs/>
          <w:spacing w:val="-3"/>
          <w:sz w:val="24"/>
          <w:szCs w:val="24"/>
          <w:highlight w:val="none"/>
          <w:lang w:eastAsia="zh-CN"/>
        </w:rPr>
        <w:t>13、为使重庆银行充分了解面向特定对象销售的理财产品的投资者信息，投资者授权同意重庆银行作为代理销售机构收集、核验投资者金融资产证明、收入证明或纳税凭证等材料。重庆银行履行投资者信息保护义务，确保投资者信息安全。</w:t>
      </w:r>
    </w:p>
    <w:p>
      <w:pPr>
        <w:pStyle w:val="2"/>
        <w:adjustRightInd w:val="0"/>
        <w:snapToGrid w:val="0"/>
        <w:spacing w:before="67" w:line="312" w:lineRule="auto"/>
        <w:ind w:left="0" w:right="220" w:rightChars="100" w:firstLine="474" w:firstLineChars="200"/>
        <w:contextualSpacing/>
        <w:rPr>
          <w:rFonts w:hint="eastAsia" w:ascii="宋体" w:hAnsi="宋体" w:eastAsia="宋体" w:cs="宋体"/>
          <w:spacing w:val="-2"/>
          <w:sz w:val="24"/>
          <w:szCs w:val="24"/>
          <w:highlight w:val="none"/>
          <w:lang w:eastAsia="zh-CN"/>
        </w:rPr>
      </w:pPr>
      <w:r>
        <w:rPr>
          <w:rFonts w:hint="eastAsia" w:ascii="宋体" w:hAnsi="宋体" w:eastAsia="宋体" w:cs="宋体"/>
          <w:spacing w:val="-2"/>
          <w:sz w:val="24"/>
          <w:szCs w:val="24"/>
          <w:highlight w:val="none"/>
          <w:lang w:eastAsia="zh-CN"/>
        </w:rPr>
        <w:t>二、免责条款</w:t>
      </w:r>
    </w:p>
    <w:p>
      <w:pPr>
        <w:pStyle w:val="4"/>
        <w:adjustRightInd w:val="0"/>
        <w:snapToGrid w:val="0"/>
        <w:spacing w:before="1" w:line="312" w:lineRule="auto"/>
        <w:ind w:left="0" w:right="220" w:rightChars="100" w:firstLine="468" w:firstLineChars="200"/>
        <w:contextualSpacing/>
        <w:jc w:val="both"/>
        <w:rPr>
          <w:rFonts w:hint="eastAsia" w:ascii="宋体" w:hAnsi="宋体" w:eastAsia="宋体" w:cs="宋体"/>
          <w:spacing w:val="-3"/>
          <w:sz w:val="24"/>
          <w:szCs w:val="24"/>
          <w:highlight w:val="none"/>
          <w:lang w:eastAsia="zh-CN"/>
        </w:rPr>
      </w:pPr>
      <w:r>
        <w:rPr>
          <w:rFonts w:hint="eastAsia" w:ascii="宋体" w:hAnsi="宋体" w:eastAsia="宋体" w:cs="宋体"/>
          <w:spacing w:val="-3"/>
          <w:sz w:val="24"/>
          <w:szCs w:val="24"/>
          <w:highlight w:val="none"/>
          <w:lang w:eastAsia="zh-CN"/>
        </w:rPr>
        <w:t>1、由于地震、火灾、战争、疫情、严重传染病等不可抗力导致的交易中断、延误等风险及损失，重庆银行不承担责任，但应在条件允许的情况下通知投资者，并采取一切必要的补救措施以减小不可抗力造成的损失。</w:t>
      </w:r>
    </w:p>
    <w:p>
      <w:pPr>
        <w:pStyle w:val="4"/>
        <w:adjustRightInd w:val="0"/>
        <w:snapToGrid w:val="0"/>
        <w:spacing w:before="1" w:line="312" w:lineRule="auto"/>
        <w:ind w:left="0" w:right="220" w:rightChars="100" w:firstLine="468" w:firstLineChars="200"/>
        <w:contextualSpacing/>
        <w:jc w:val="both"/>
        <w:rPr>
          <w:rFonts w:hint="eastAsia" w:ascii="宋体" w:hAnsi="宋体" w:eastAsia="宋体" w:cs="宋体"/>
          <w:spacing w:val="-3"/>
          <w:sz w:val="24"/>
          <w:szCs w:val="24"/>
          <w:highlight w:val="none"/>
          <w:lang w:eastAsia="zh-CN"/>
        </w:rPr>
      </w:pPr>
      <w:r>
        <w:rPr>
          <w:rFonts w:hint="eastAsia" w:ascii="宋体" w:hAnsi="宋体" w:eastAsia="宋体" w:cs="宋体"/>
          <w:spacing w:val="-3"/>
          <w:sz w:val="24"/>
          <w:szCs w:val="24"/>
          <w:highlight w:val="none"/>
          <w:lang w:eastAsia="zh-CN"/>
        </w:rPr>
        <w:t>2、由于国家的有关法律、法规、规则、政策的改变、紧急措施的出台而导致的风险，重庆银行不承担责任。</w:t>
      </w:r>
    </w:p>
    <w:p>
      <w:pPr>
        <w:pStyle w:val="4"/>
        <w:adjustRightInd w:val="0"/>
        <w:snapToGrid w:val="0"/>
        <w:spacing w:before="1" w:line="312" w:lineRule="auto"/>
        <w:ind w:left="0" w:right="220" w:rightChars="100" w:firstLine="468" w:firstLineChars="200"/>
        <w:contextualSpacing/>
        <w:jc w:val="both"/>
        <w:rPr>
          <w:rFonts w:hint="eastAsia" w:ascii="宋体" w:hAnsi="宋体" w:eastAsia="宋体" w:cs="宋体"/>
          <w:spacing w:val="-3"/>
          <w:sz w:val="24"/>
          <w:szCs w:val="24"/>
          <w:highlight w:val="none"/>
          <w:lang w:eastAsia="zh-CN"/>
        </w:rPr>
      </w:pPr>
      <w:r>
        <w:rPr>
          <w:rFonts w:hint="eastAsia" w:ascii="宋体" w:hAnsi="宋体" w:eastAsia="宋体" w:cs="宋体"/>
          <w:spacing w:val="-3"/>
          <w:sz w:val="24"/>
          <w:szCs w:val="24"/>
          <w:highlight w:val="none"/>
          <w:lang w:eastAsia="zh-CN"/>
        </w:rPr>
        <w:t>3、非因重庆银行责任（包括但不限于理财产品投资者遗失理财产品销售文件、理财产品销售文件被盗用、投资者交易账户被司法机关等有权部门冻结、扣划等原因）造成的损失，重庆银行不承担责任。</w:t>
      </w:r>
    </w:p>
    <w:p>
      <w:pPr>
        <w:pStyle w:val="2"/>
        <w:adjustRightInd w:val="0"/>
        <w:snapToGrid w:val="0"/>
        <w:spacing w:before="67" w:line="312" w:lineRule="auto"/>
        <w:ind w:left="0" w:right="220" w:rightChars="100" w:firstLine="474" w:firstLineChars="200"/>
        <w:contextualSpacing/>
        <w:rPr>
          <w:rFonts w:hint="eastAsia" w:ascii="宋体" w:hAnsi="宋体" w:eastAsia="宋体" w:cs="宋体"/>
          <w:spacing w:val="-2"/>
          <w:sz w:val="24"/>
          <w:szCs w:val="24"/>
          <w:highlight w:val="none"/>
          <w:lang w:eastAsia="zh-CN"/>
        </w:rPr>
      </w:pPr>
      <w:r>
        <w:rPr>
          <w:rFonts w:hint="eastAsia" w:ascii="宋体" w:hAnsi="宋体" w:eastAsia="宋体" w:cs="宋体"/>
          <w:spacing w:val="-2"/>
          <w:sz w:val="24"/>
          <w:szCs w:val="24"/>
          <w:highlight w:val="none"/>
          <w:lang w:eastAsia="zh-CN"/>
        </w:rPr>
        <w:t>三、协议的生效和终止</w:t>
      </w:r>
    </w:p>
    <w:p>
      <w:pPr>
        <w:pStyle w:val="4"/>
        <w:adjustRightInd w:val="0"/>
        <w:snapToGrid w:val="0"/>
        <w:spacing w:before="1" w:line="312" w:lineRule="auto"/>
        <w:ind w:left="0" w:right="220" w:rightChars="100" w:firstLine="468" w:firstLineChars="200"/>
        <w:contextualSpacing/>
        <w:jc w:val="both"/>
        <w:rPr>
          <w:rFonts w:hint="eastAsia" w:ascii="宋体" w:hAnsi="宋体" w:eastAsia="宋体" w:cs="宋体"/>
          <w:spacing w:val="-3"/>
          <w:sz w:val="24"/>
          <w:szCs w:val="24"/>
          <w:highlight w:val="none"/>
          <w:lang w:eastAsia="zh-CN"/>
        </w:rPr>
      </w:pPr>
      <w:r>
        <w:rPr>
          <w:rFonts w:hint="eastAsia" w:ascii="宋体" w:hAnsi="宋体" w:eastAsia="宋体" w:cs="宋体"/>
          <w:spacing w:val="-3"/>
          <w:sz w:val="24"/>
          <w:szCs w:val="24"/>
          <w:highlight w:val="none"/>
          <w:lang w:eastAsia="zh-CN"/>
        </w:rPr>
        <w:t>1、本协议自投资者在重庆银行柜面签署（自然人投资者应当签名、机构投资者应当由法定代表人/负责人或其授权代表签名并加盖公章）或在重庆银行网上银行、手机银行等渠道点击同意后且满足理财产品销售文件</w:t>
      </w:r>
      <w:r>
        <w:rPr>
          <w:rFonts w:hint="eastAsia" w:ascii="宋体" w:hAnsi="宋体" w:eastAsia="宋体" w:cs="宋体"/>
          <w:spacing w:val="-1"/>
          <w:sz w:val="24"/>
          <w:szCs w:val="24"/>
          <w:highlight w:val="none"/>
          <w:lang w:eastAsia="zh-CN"/>
        </w:rPr>
        <w:t>（</w:t>
      </w:r>
      <w:r>
        <w:rPr>
          <w:rFonts w:hint="eastAsia" w:ascii="宋体" w:hAnsi="宋体" w:eastAsia="宋体" w:cs="宋体"/>
          <w:spacing w:val="-2"/>
          <w:sz w:val="24"/>
          <w:szCs w:val="24"/>
          <w:highlight w:val="none"/>
          <w:lang w:eastAsia="zh-CN"/>
        </w:rPr>
        <w:t>包括本协议以及理财产品风险揭示书、理财产品投资协议书、理财产品说明书及投资者权益须知</w:t>
      </w:r>
      <w:r>
        <w:rPr>
          <w:rFonts w:hint="eastAsia" w:ascii="宋体" w:hAnsi="宋体" w:eastAsia="宋体" w:cs="宋体"/>
          <w:spacing w:val="-1"/>
          <w:sz w:val="24"/>
          <w:szCs w:val="24"/>
          <w:highlight w:val="none"/>
          <w:lang w:eastAsia="zh-CN"/>
        </w:rPr>
        <w:t>）</w:t>
      </w:r>
      <w:r>
        <w:rPr>
          <w:rFonts w:hint="eastAsia" w:ascii="宋体" w:hAnsi="宋体" w:eastAsia="宋体" w:cs="宋体"/>
          <w:spacing w:val="-3"/>
          <w:sz w:val="24"/>
          <w:szCs w:val="24"/>
          <w:highlight w:val="none"/>
          <w:lang w:eastAsia="zh-CN"/>
        </w:rPr>
        <w:t>全部生效要件之日起生效。</w:t>
      </w:r>
    </w:p>
    <w:p>
      <w:pPr>
        <w:pStyle w:val="4"/>
        <w:adjustRightInd w:val="0"/>
        <w:snapToGrid w:val="0"/>
        <w:spacing w:before="1" w:line="312" w:lineRule="auto"/>
        <w:ind w:left="0" w:right="220" w:rightChars="100" w:firstLine="468" w:firstLineChars="200"/>
        <w:contextualSpacing/>
        <w:jc w:val="both"/>
        <w:rPr>
          <w:rFonts w:hint="eastAsia" w:ascii="宋体" w:hAnsi="宋体" w:eastAsia="宋体" w:cs="宋体"/>
          <w:spacing w:val="-3"/>
          <w:sz w:val="24"/>
          <w:szCs w:val="24"/>
          <w:highlight w:val="none"/>
          <w:lang w:eastAsia="zh-CN"/>
        </w:rPr>
      </w:pPr>
      <w:r>
        <w:rPr>
          <w:rFonts w:hint="eastAsia" w:ascii="宋体" w:hAnsi="宋体" w:eastAsia="宋体" w:cs="宋体"/>
          <w:spacing w:val="-3"/>
          <w:sz w:val="24"/>
          <w:szCs w:val="24"/>
          <w:highlight w:val="none"/>
          <w:lang w:eastAsia="zh-CN"/>
        </w:rPr>
        <w:t>2、理财产品销售文件（包括本协议及</w:t>
      </w:r>
      <w:r>
        <w:rPr>
          <w:rFonts w:hint="eastAsia" w:ascii="宋体" w:hAnsi="宋体" w:eastAsia="宋体" w:cs="宋体"/>
          <w:spacing w:val="-2"/>
          <w:sz w:val="24"/>
          <w:szCs w:val="24"/>
          <w:highlight w:val="none"/>
          <w:lang w:eastAsia="zh-CN"/>
        </w:rPr>
        <w:t>理财产品风险揭示书、理财产品投资协议书、理财产品说明书及投资者权益须知</w:t>
      </w:r>
      <w:r>
        <w:rPr>
          <w:rFonts w:hint="eastAsia" w:ascii="宋体" w:hAnsi="宋体" w:eastAsia="宋体" w:cs="宋体"/>
          <w:spacing w:val="-3"/>
          <w:sz w:val="24"/>
          <w:szCs w:val="24"/>
          <w:highlight w:val="none"/>
          <w:lang w:eastAsia="zh-CN"/>
        </w:rPr>
        <w:t>）项下各方权利义务履行完毕之日，本协议自动终止。</w:t>
      </w:r>
    </w:p>
    <w:p>
      <w:pPr>
        <w:pStyle w:val="4"/>
        <w:adjustRightInd w:val="0"/>
        <w:snapToGrid w:val="0"/>
        <w:spacing w:before="1" w:line="312" w:lineRule="auto"/>
        <w:ind w:left="0" w:right="220" w:rightChars="100" w:firstLine="468" w:firstLineChars="200"/>
        <w:contextualSpacing/>
        <w:jc w:val="both"/>
        <w:rPr>
          <w:rFonts w:hint="eastAsia" w:ascii="宋体" w:hAnsi="宋体" w:eastAsia="宋体" w:cs="宋体"/>
          <w:spacing w:val="-3"/>
          <w:sz w:val="24"/>
          <w:szCs w:val="24"/>
          <w:highlight w:val="none"/>
          <w:lang w:eastAsia="zh-CN"/>
        </w:rPr>
      </w:pPr>
      <w:r>
        <w:rPr>
          <w:rFonts w:hint="eastAsia" w:ascii="宋体" w:hAnsi="宋体" w:eastAsia="宋体" w:cs="宋体"/>
          <w:spacing w:val="-3"/>
          <w:sz w:val="24"/>
          <w:szCs w:val="24"/>
          <w:highlight w:val="none"/>
          <w:lang w:eastAsia="zh-CN"/>
        </w:rPr>
        <w:t>3、本协议一式贰份，重庆银行壹份，投资者壹份，具有同等法律效力。</w:t>
      </w:r>
    </w:p>
    <w:p>
      <w:pPr>
        <w:pStyle w:val="2"/>
        <w:adjustRightInd w:val="0"/>
        <w:snapToGrid w:val="0"/>
        <w:spacing w:before="67" w:line="312" w:lineRule="auto"/>
        <w:ind w:left="0" w:right="220" w:rightChars="100" w:firstLine="474" w:firstLineChars="200"/>
        <w:contextualSpacing/>
        <w:rPr>
          <w:rFonts w:hint="eastAsia" w:ascii="宋体" w:hAnsi="宋体" w:eastAsia="宋体" w:cs="宋体"/>
          <w:spacing w:val="-2"/>
          <w:sz w:val="24"/>
          <w:szCs w:val="24"/>
          <w:highlight w:val="none"/>
          <w:lang w:eastAsia="zh-CN"/>
        </w:rPr>
      </w:pPr>
      <w:r>
        <w:rPr>
          <w:rFonts w:hint="eastAsia" w:ascii="宋体" w:hAnsi="宋体" w:eastAsia="宋体" w:cs="宋体"/>
          <w:spacing w:val="-2"/>
          <w:sz w:val="24"/>
          <w:szCs w:val="24"/>
          <w:highlight w:val="none"/>
          <w:lang w:eastAsia="zh-CN"/>
        </w:rPr>
        <w:t>四、信息保密</w:t>
      </w:r>
    </w:p>
    <w:p>
      <w:pPr>
        <w:pStyle w:val="4"/>
        <w:adjustRightInd w:val="0"/>
        <w:snapToGrid w:val="0"/>
        <w:spacing w:before="1" w:line="312" w:lineRule="auto"/>
        <w:ind w:left="0" w:right="220" w:rightChars="100" w:firstLine="468" w:firstLineChars="200"/>
        <w:contextualSpacing/>
        <w:jc w:val="both"/>
        <w:rPr>
          <w:rFonts w:hint="eastAsia" w:ascii="宋体" w:hAnsi="宋体" w:eastAsia="宋体" w:cs="宋体"/>
          <w:spacing w:val="-3"/>
          <w:sz w:val="24"/>
          <w:szCs w:val="24"/>
          <w:highlight w:val="none"/>
          <w:lang w:eastAsia="zh-CN"/>
        </w:rPr>
      </w:pPr>
      <w:r>
        <w:rPr>
          <w:rFonts w:hint="eastAsia" w:ascii="宋体" w:hAnsi="宋体" w:eastAsia="宋体" w:cs="宋体"/>
          <w:spacing w:val="-3"/>
          <w:sz w:val="24"/>
          <w:szCs w:val="24"/>
          <w:highlight w:val="none"/>
          <w:lang w:eastAsia="zh-CN"/>
        </w:rPr>
        <w:t>1、重庆银行将根据相关法律、法规严格履行投资者信息保密责任，除监管机构、司法机关等有权机构以及商业银行理财子公司外，不得对其他第三方提供任何投资者信息。</w:t>
      </w:r>
    </w:p>
    <w:p>
      <w:pPr>
        <w:pStyle w:val="4"/>
        <w:adjustRightInd w:val="0"/>
        <w:snapToGrid w:val="0"/>
        <w:spacing w:before="1" w:line="312" w:lineRule="auto"/>
        <w:ind w:left="0" w:right="220" w:rightChars="100" w:firstLine="468" w:firstLineChars="200"/>
        <w:contextualSpacing/>
        <w:jc w:val="both"/>
        <w:rPr>
          <w:rFonts w:hint="eastAsia" w:ascii="宋体" w:hAnsi="宋体" w:eastAsia="宋体" w:cs="宋体"/>
          <w:spacing w:val="-3"/>
          <w:sz w:val="24"/>
          <w:szCs w:val="24"/>
          <w:highlight w:val="none"/>
          <w:lang w:eastAsia="zh-CN"/>
        </w:rPr>
      </w:pPr>
      <w:r>
        <w:rPr>
          <w:rFonts w:hint="eastAsia" w:ascii="宋体" w:hAnsi="宋体" w:eastAsia="宋体" w:cs="宋体"/>
          <w:spacing w:val="-3"/>
          <w:sz w:val="24"/>
          <w:szCs w:val="24"/>
          <w:highlight w:val="none"/>
          <w:lang w:eastAsia="zh-CN"/>
        </w:rPr>
        <w:t>2、重庆银行客观完整地记录适当性管理的重点环节，妥善保存相关信息资料，包括但不限于产品评级结果、投资者评估结果、告知提示资料、录音录像资料等，确保适当性管理过程可回溯。相关资料保存期限不低于重庆银行与投资者理财产品销售文件</w:t>
      </w:r>
      <w:r>
        <w:rPr>
          <w:rFonts w:hint="eastAsia" w:ascii="宋体" w:hAnsi="宋体" w:eastAsia="宋体" w:cs="宋体"/>
          <w:spacing w:val="-1"/>
          <w:sz w:val="24"/>
          <w:szCs w:val="24"/>
          <w:highlight w:val="none"/>
          <w:lang w:eastAsia="zh-CN"/>
        </w:rPr>
        <w:t>（</w:t>
      </w:r>
      <w:r>
        <w:rPr>
          <w:rFonts w:hint="eastAsia" w:ascii="宋体" w:hAnsi="宋体" w:eastAsia="宋体" w:cs="宋体"/>
          <w:spacing w:val="-2"/>
          <w:sz w:val="24"/>
          <w:szCs w:val="24"/>
          <w:highlight w:val="none"/>
          <w:lang w:eastAsia="zh-CN"/>
        </w:rPr>
        <w:t>包括本协议以及理财产品风险揭示书、理财产品投资协议书、理财产品说明书及投资者权益须知</w:t>
      </w:r>
      <w:r>
        <w:rPr>
          <w:rFonts w:hint="eastAsia" w:ascii="宋体" w:hAnsi="宋体" w:eastAsia="宋体" w:cs="宋体"/>
          <w:spacing w:val="-1"/>
          <w:sz w:val="24"/>
          <w:szCs w:val="24"/>
          <w:highlight w:val="none"/>
          <w:lang w:eastAsia="zh-CN"/>
        </w:rPr>
        <w:t>）</w:t>
      </w:r>
      <w:r>
        <w:rPr>
          <w:rFonts w:hint="eastAsia" w:ascii="宋体" w:hAnsi="宋体" w:eastAsia="宋体" w:cs="宋体"/>
          <w:spacing w:val="-3"/>
          <w:sz w:val="24"/>
          <w:szCs w:val="24"/>
          <w:highlight w:val="none"/>
          <w:lang w:eastAsia="zh-CN"/>
        </w:rPr>
        <w:t>后五年</w:t>
      </w:r>
      <w:r>
        <w:rPr>
          <w:rFonts w:hint="eastAsia" w:eastAsia="宋体"/>
          <w:highlight w:val="none"/>
          <w:lang w:eastAsia="zh-CN"/>
        </w:rPr>
        <w:t>。</w:t>
      </w:r>
    </w:p>
    <w:p>
      <w:pPr>
        <w:pStyle w:val="2"/>
        <w:adjustRightInd w:val="0"/>
        <w:snapToGrid w:val="0"/>
        <w:spacing w:before="67" w:line="312" w:lineRule="auto"/>
        <w:ind w:left="0" w:right="220" w:rightChars="100" w:firstLine="474" w:firstLineChars="200"/>
        <w:contextualSpacing/>
        <w:rPr>
          <w:rFonts w:hint="eastAsia" w:ascii="宋体" w:hAnsi="宋体" w:eastAsia="宋体" w:cs="宋体"/>
          <w:spacing w:val="-2"/>
          <w:sz w:val="24"/>
          <w:szCs w:val="24"/>
          <w:highlight w:val="none"/>
          <w:lang w:eastAsia="zh-CN"/>
        </w:rPr>
      </w:pPr>
      <w:r>
        <w:rPr>
          <w:rFonts w:hint="eastAsia" w:ascii="宋体" w:hAnsi="宋体" w:eastAsia="宋体" w:cs="宋体"/>
          <w:spacing w:val="-2"/>
          <w:sz w:val="24"/>
          <w:szCs w:val="24"/>
          <w:highlight w:val="none"/>
          <w:lang w:eastAsia="zh-CN"/>
        </w:rPr>
        <w:t>五、法律适用和争议处理</w:t>
      </w:r>
    </w:p>
    <w:p>
      <w:pPr>
        <w:pStyle w:val="4"/>
        <w:adjustRightInd w:val="0"/>
        <w:snapToGrid w:val="0"/>
        <w:spacing w:before="1" w:line="312" w:lineRule="auto"/>
        <w:ind w:left="0" w:right="220" w:rightChars="100" w:firstLine="468" w:firstLineChars="200"/>
        <w:contextualSpacing/>
        <w:jc w:val="both"/>
        <w:rPr>
          <w:rFonts w:hint="eastAsia" w:ascii="宋体" w:hAnsi="宋体" w:eastAsia="宋体" w:cs="宋体"/>
          <w:spacing w:val="-3"/>
          <w:sz w:val="24"/>
          <w:szCs w:val="24"/>
          <w:highlight w:val="none"/>
          <w:lang w:eastAsia="zh-CN"/>
        </w:rPr>
      </w:pPr>
      <w:r>
        <w:rPr>
          <w:rFonts w:hint="eastAsia" w:ascii="宋体" w:hAnsi="宋体" w:eastAsia="宋体" w:cs="宋体"/>
          <w:spacing w:val="-3"/>
          <w:sz w:val="24"/>
          <w:szCs w:val="24"/>
          <w:highlight w:val="none"/>
          <w:lang w:eastAsia="zh-CN"/>
        </w:rPr>
        <w:t>1、本协议及其他理财产品销售文件（包括理财产品风险揭示书、理财产品投资协议书、理财产品说明书及投资者权益须知）适用中华人民共和国法律（为本协议之目的，在此不包括香港特别行政区、澳门特别行政区和台湾地区的法律）管辖，并按其解释。</w:t>
      </w:r>
    </w:p>
    <w:p>
      <w:pPr>
        <w:pStyle w:val="4"/>
        <w:adjustRightInd w:val="0"/>
        <w:snapToGrid w:val="0"/>
        <w:spacing w:before="1" w:line="312" w:lineRule="auto"/>
        <w:ind w:left="0" w:right="220" w:rightChars="100" w:firstLine="468" w:firstLineChars="200"/>
        <w:contextualSpacing/>
        <w:jc w:val="both"/>
        <w:rPr>
          <w:rFonts w:hint="eastAsia" w:ascii="宋体" w:hAnsi="宋体" w:eastAsia="宋体" w:cs="宋体"/>
          <w:spacing w:val="-3"/>
          <w:sz w:val="24"/>
          <w:szCs w:val="24"/>
          <w:highlight w:val="none"/>
          <w:lang w:eastAsia="zh-CN"/>
        </w:rPr>
      </w:pPr>
      <w:r>
        <w:rPr>
          <w:rFonts w:hint="eastAsia" w:ascii="宋体" w:hAnsi="宋体" w:eastAsia="宋体" w:cs="宋体"/>
          <w:spacing w:val="-3"/>
          <w:sz w:val="24"/>
          <w:szCs w:val="24"/>
          <w:highlight w:val="none"/>
          <w:lang w:eastAsia="zh-CN"/>
        </w:rPr>
        <w:t>2、因本协议引起或与本协议有关的任何争议，由重庆银行与投资者协商解决，协商不成的，</w:t>
      </w:r>
      <w:r>
        <w:rPr>
          <w:rFonts w:hint="eastAsia" w:ascii="宋体" w:hAnsi="宋体" w:eastAsia="宋体" w:cs="黑体"/>
          <w:sz w:val="24"/>
          <w:highlight w:val="none"/>
          <w:lang w:val="en-US" w:eastAsia="zh-CN"/>
        </w:rPr>
        <w:t>应提交销售机构或管理人所在地人民法院诉讼解决</w:t>
      </w:r>
      <w:r>
        <w:rPr>
          <w:rFonts w:hint="eastAsia" w:ascii="宋体" w:hAnsi="宋体" w:eastAsia="宋体" w:cs="宋体"/>
          <w:spacing w:val="-3"/>
          <w:sz w:val="24"/>
          <w:szCs w:val="24"/>
          <w:highlight w:val="none"/>
          <w:lang w:eastAsia="zh-CN"/>
        </w:rPr>
        <w:t>。在诉讼期间，本协议不涉及争议部分的条款仍需履行。</w:t>
      </w:r>
    </w:p>
    <w:p>
      <w:pPr>
        <w:pStyle w:val="2"/>
        <w:adjustRightInd w:val="0"/>
        <w:snapToGrid w:val="0"/>
        <w:spacing w:before="67" w:line="312" w:lineRule="auto"/>
        <w:ind w:left="0" w:right="220" w:rightChars="100" w:firstLine="474" w:firstLineChars="200"/>
        <w:contextualSpacing/>
        <w:rPr>
          <w:rFonts w:hint="eastAsia" w:ascii="宋体" w:hAnsi="宋体" w:eastAsia="宋体" w:cs="宋体"/>
          <w:spacing w:val="-2"/>
          <w:sz w:val="24"/>
          <w:szCs w:val="24"/>
          <w:highlight w:val="none"/>
          <w:lang w:eastAsia="zh-CN"/>
        </w:rPr>
      </w:pPr>
      <w:r>
        <w:rPr>
          <w:rFonts w:hint="eastAsia" w:ascii="宋体" w:hAnsi="宋体" w:eastAsia="宋体" w:cs="宋体"/>
          <w:spacing w:val="-2"/>
          <w:sz w:val="24"/>
          <w:szCs w:val="24"/>
          <w:highlight w:val="none"/>
          <w:lang w:eastAsia="zh-CN"/>
        </w:rPr>
        <w:t>六、投诉方式</w:t>
      </w:r>
    </w:p>
    <w:p>
      <w:pPr>
        <w:pStyle w:val="4"/>
        <w:adjustRightInd w:val="0"/>
        <w:snapToGrid w:val="0"/>
        <w:spacing w:before="1" w:line="312" w:lineRule="auto"/>
        <w:ind w:left="0" w:right="220" w:rightChars="100" w:firstLine="468" w:firstLineChars="200"/>
        <w:contextualSpacing/>
        <w:jc w:val="both"/>
        <w:rPr>
          <w:rFonts w:hint="eastAsia" w:ascii="宋体" w:hAnsi="宋体" w:eastAsia="宋体" w:cs="宋体"/>
          <w:spacing w:val="-3"/>
          <w:sz w:val="24"/>
          <w:szCs w:val="24"/>
          <w:highlight w:val="none"/>
          <w:lang w:eastAsia="zh-CN"/>
        </w:rPr>
      </w:pPr>
      <w:r>
        <w:rPr>
          <w:rFonts w:hint="eastAsia" w:ascii="宋体" w:hAnsi="宋体" w:eastAsia="宋体" w:cs="宋体"/>
          <w:spacing w:val="-3"/>
          <w:sz w:val="24"/>
          <w:szCs w:val="24"/>
          <w:highlight w:val="none"/>
          <w:lang w:eastAsia="zh-CN"/>
        </w:rPr>
        <w:t>投资者如认为重庆银行推介、销售产品时有不实或未尽风险告知职责或其他疑义事项，或对理财产品、重庆银行及商业银行理财子公司服务有任何意见或建议，投资者可通过拨打重庆银行客户服务热线（023-956023）、或至重庆银行营业网点等方式进行反馈，重庆银行将由专人接听、记录您的意见或建议。</w:t>
      </w:r>
    </w:p>
    <w:p>
      <w:pPr>
        <w:pStyle w:val="4"/>
        <w:adjustRightInd w:val="0"/>
        <w:snapToGrid w:val="0"/>
        <w:spacing w:before="1" w:line="312" w:lineRule="auto"/>
        <w:ind w:left="0" w:right="220" w:rightChars="100" w:firstLine="468" w:firstLineChars="200"/>
        <w:contextualSpacing/>
        <w:jc w:val="both"/>
        <w:rPr>
          <w:rFonts w:hint="eastAsia" w:ascii="宋体" w:hAnsi="宋体" w:eastAsia="宋体" w:cs="宋体"/>
          <w:spacing w:val="-3"/>
          <w:sz w:val="24"/>
          <w:szCs w:val="24"/>
          <w:highlight w:val="none"/>
          <w:lang w:eastAsia="zh-CN"/>
        </w:rPr>
      </w:pPr>
      <w:r>
        <w:rPr>
          <w:rFonts w:hint="eastAsia" w:ascii="宋体" w:hAnsi="宋体" w:eastAsia="宋体" w:cs="宋体"/>
          <w:spacing w:val="-3"/>
          <w:sz w:val="24"/>
          <w:szCs w:val="24"/>
          <w:highlight w:val="none"/>
          <w:lang w:eastAsia="zh-CN"/>
        </w:rPr>
        <w:t>重庆银行承诺，将加强投诉统计分析，及时发现和处理侵害投资者合法权益的问题。对于投诉处理中发现的违规行为，重庆银行将依照相关规定追究直接责任人员和管理人员责任，发现涉嫌违法犯罪的，将及时移送司法机关处理。</w:t>
      </w:r>
    </w:p>
    <w:p>
      <w:pPr>
        <w:pStyle w:val="4"/>
        <w:adjustRightInd w:val="0"/>
        <w:snapToGrid w:val="0"/>
        <w:spacing w:before="1" w:line="312" w:lineRule="auto"/>
        <w:ind w:left="0" w:right="220" w:rightChars="100" w:firstLine="468" w:firstLineChars="200"/>
        <w:contextualSpacing/>
        <w:jc w:val="both"/>
        <w:rPr>
          <w:rFonts w:hint="eastAsia" w:ascii="宋体" w:hAnsi="宋体" w:eastAsia="宋体" w:cs="宋体"/>
          <w:spacing w:val="-3"/>
          <w:sz w:val="24"/>
          <w:szCs w:val="24"/>
          <w:highlight w:val="none"/>
          <w:lang w:eastAsia="zh-CN"/>
        </w:rPr>
      </w:pPr>
    </w:p>
    <w:p>
      <w:pPr>
        <w:rPr>
          <w:rFonts w:hint="eastAsia" w:ascii="宋体" w:hAnsi="宋体" w:eastAsia="宋体" w:cs="宋体"/>
          <w:bCs/>
          <w:color w:val="4D4D4D"/>
          <w:sz w:val="24"/>
          <w:szCs w:val="24"/>
          <w:highlight w:val="none"/>
          <w:lang w:eastAsia="zh-CN"/>
        </w:rPr>
      </w:pPr>
    </w:p>
    <w:p>
      <w:pPr>
        <w:rPr>
          <w:rFonts w:hint="eastAsia" w:ascii="宋体" w:hAnsi="宋体" w:eastAsia="宋体" w:cs="宋体"/>
          <w:bCs/>
          <w:color w:val="4D4D4D"/>
          <w:sz w:val="24"/>
          <w:szCs w:val="24"/>
          <w:highlight w:val="none"/>
          <w:lang w:eastAsia="zh-CN"/>
        </w:rPr>
      </w:pPr>
    </w:p>
    <w:p>
      <w:pPr>
        <w:rPr>
          <w:rFonts w:hint="eastAsia" w:ascii="宋体" w:hAnsi="宋体" w:eastAsia="宋体" w:cs="宋体"/>
          <w:bCs/>
          <w:color w:val="4D4D4D"/>
          <w:sz w:val="24"/>
          <w:szCs w:val="24"/>
          <w:highlight w:val="none"/>
          <w:lang w:eastAsia="zh-CN"/>
        </w:rPr>
      </w:pPr>
      <w:r>
        <w:rPr>
          <w:rFonts w:hint="eastAsia" w:ascii="宋体" w:hAnsi="宋体" w:eastAsia="宋体" w:cs="宋体"/>
          <w:bCs/>
          <w:color w:val="4D4D4D"/>
          <w:sz w:val="24"/>
          <w:szCs w:val="24"/>
          <w:highlight w:val="none"/>
          <w:lang w:eastAsia="zh-CN"/>
        </w:rPr>
        <w:t>【投资者为自然人投资者时】</w:t>
      </w:r>
    </w:p>
    <w:p>
      <w:pPr>
        <w:rPr>
          <w:rFonts w:hint="eastAsia" w:ascii="宋体" w:hAnsi="宋体" w:eastAsia="宋体" w:cs="宋体"/>
          <w:bCs/>
          <w:color w:val="4D4D4D"/>
          <w:sz w:val="24"/>
          <w:szCs w:val="24"/>
          <w:highlight w:val="none"/>
          <w:lang w:eastAsia="zh-CN"/>
        </w:rPr>
      </w:pPr>
      <w:r>
        <w:rPr>
          <w:rFonts w:hint="eastAsia" w:ascii="宋体" w:hAnsi="宋体" w:eastAsia="宋体" w:cs="宋体"/>
          <w:bCs/>
          <w:color w:val="4D4D4D"/>
          <w:sz w:val="24"/>
          <w:szCs w:val="24"/>
          <w:highlight w:val="none"/>
          <w:lang w:eastAsia="zh-CN"/>
        </w:rPr>
        <w:t xml:space="preserve">投资者姓名（签名）：              </w:t>
      </w:r>
    </w:p>
    <w:p>
      <w:pPr>
        <w:rPr>
          <w:rFonts w:hint="eastAsia" w:ascii="宋体" w:hAnsi="宋体" w:eastAsia="宋体" w:cs="宋体"/>
          <w:bCs/>
          <w:color w:val="4D4D4D"/>
          <w:sz w:val="24"/>
          <w:szCs w:val="24"/>
          <w:highlight w:val="none"/>
          <w:lang w:eastAsia="zh-CN"/>
        </w:rPr>
      </w:pPr>
      <w:r>
        <w:rPr>
          <w:rFonts w:hint="eastAsia" w:ascii="宋体" w:hAnsi="宋体" w:eastAsia="宋体" w:cs="宋体"/>
          <w:bCs/>
          <w:color w:val="4D4D4D"/>
          <w:sz w:val="24"/>
          <w:szCs w:val="24"/>
          <w:highlight w:val="none"/>
          <w:lang w:eastAsia="zh-CN"/>
        </w:rPr>
        <w:t xml:space="preserve">证件类型及号码：                    </w:t>
      </w:r>
    </w:p>
    <w:p>
      <w:pPr>
        <w:rPr>
          <w:rFonts w:hint="eastAsia" w:ascii="宋体" w:hAnsi="宋体" w:eastAsia="宋体" w:cs="宋体"/>
          <w:bCs/>
          <w:color w:val="4D4D4D"/>
          <w:sz w:val="24"/>
          <w:szCs w:val="24"/>
          <w:highlight w:val="none"/>
          <w:lang w:eastAsia="zh-CN"/>
        </w:rPr>
      </w:pPr>
      <w:r>
        <w:rPr>
          <w:rFonts w:hint="eastAsia" w:ascii="宋体" w:hAnsi="宋体" w:eastAsia="宋体" w:cs="宋体"/>
          <w:bCs/>
          <w:color w:val="4D4D4D"/>
          <w:sz w:val="24"/>
          <w:szCs w:val="24"/>
          <w:highlight w:val="none"/>
          <w:lang w:eastAsia="zh-CN"/>
        </w:rPr>
        <w:t>手机号码：</w:t>
      </w:r>
    </w:p>
    <w:p>
      <w:pPr>
        <w:rPr>
          <w:rFonts w:hint="eastAsia" w:ascii="宋体" w:hAnsi="宋体" w:eastAsia="宋体" w:cs="宋体"/>
          <w:bCs/>
          <w:color w:val="4D4D4D"/>
          <w:sz w:val="24"/>
          <w:szCs w:val="24"/>
          <w:highlight w:val="none"/>
          <w:lang w:eastAsia="zh-CN"/>
        </w:rPr>
      </w:pPr>
      <w:r>
        <w:rPr>
          <w:rFonts w:hint="eastAsia" w:ascii="宋体" w:hAnsi="宋体" w:eastAsia="宋体" w:cs="宋体"/>
          <w:bCs/>
          <w:color w:val="4D4D4D"/>
          <w:sz w:val="24"/>
          <w:szCs w:val="24"/>
          <w:highlight w:val="none"/>
          <w:lang w:eastAsia="zh-CN"/>
        </w:rPr>
        <w:t>签署日期：    年  月  日</w:t>
      </w:r>
    </w:p>
    <w:p>
      <w:pPr>
        <w:rPr>
          <w:rFonts w:hint="eastAsia" w:ascii="宋体" w:hAnsi="宋体" w:eastAsia="宋体" w:cs="宋体"/>
          <w:bCs/>
          <w:color w:val="4D4D4D"/>
          <w:sz w:val="24"/>
          <w:szCs w:val="24"/>
          <w:highlight w:val="none"/>
          <w:lang w:eastAsia="zh-CN"/>
        </w:rPr>
      </w:pPr>
    </w:p>
    <w:p>
      <w:pPr>
        <w:rPr>
          <w:rFonts w:hint="eastAsia" w:ascii="宋体" w:hAnsi="宋体" w:eastAsia="宋体" w:cs="宋体"/>
          <w:bCs/>
          <w:color w:val="4D4D4D"/>
          <w:sz w:val="24"/>
          <w:szCs w:val="24"/>
          <w:highlight w:val="none"/>
          <w:lang w:eastAsia="zh-CN"/>
        </w:rPr>
      </w:pPr>
      <w:r>
        <w:rPr>
          <w:rFonts w:hint="eastAsia" w:ascii="宋体" w:hAnsi="宋体" w:eastAsia="宋体" w:cs="宋体"/>
          <w:bCs/>
          <w:color w:val="4D4D4D"/>
          <w:sz w:val="24"/>
          <w:szCs w:val="24"/>
          <w:highlight w:val="none"/>
          <w:lang w:eastAsia="zh-CN"/>
        </w:rPr>
        <w:t>【投资者为机构投资者时】</w:t>
      </w:r>
    </w:p>
    <w:p>
      <w:pPr>
        <w:rPr>
          <w:rFonts w:hint="eastAsia" w:ascii="宋体" w:hAnsi="宋体" w:eastAsia="宋体" w:cs="宋体"/>
          <w:bCs/>
          <w:color w:val="4D4D4D"/>
          <w:sz w:val="24"/>
          <w:szCs w:val="24"/>
          <w:highlight w:val="none"/>
          <w:lang w:eastAsia="zh-CN"/>
        </w:rPr>
      </w:pPr>
      <w:r>
        <w:rPr>
          <w:rFonts w:hint="eastAsia" w:ascii="宋体" w:hAnsi="宋体" w:eastAsia="宋体" w:cs="宋体"/>
          <w:bCs/>
          <w:color w:val="4D4D4D"/>
          <w:sz w:val="24"/>
          <w:szCs w:val="24"/>
          <w:highlight w:val="none"/>
          <w:lang w:eastAsia="zh-CN"/>
        </w:rPr>
        <w:t>投资者名称（盖章）：</w:t>
      </w:r>
    </w:p>
    <w:p>
      <w:pPr>
        <w:rPr>
          <w:rFonts w:hint="eastAsia" w:ascii="宋体" w:hAnsi="宋体" w:eastAsia="宋体" w:cs="宋体"/>
          <w:bCs/>
          <w:color w:val="4D4D4D"/>
          <w:sz w:val="24"/>
          <w:szCs w:val="24"/>
          <w:highlight w:val="none"/>
          <w:lang w:eastAsia="zh-CN"/>
        </w:rPr>
      </w:pPr>
      <w:r>
        <w:rPr>
          <w:rFonts w:hint="eastAsia" w:ascii="宋体" w:hAnsi="宋体" w:eastAsia="宋体" w:cs="宋体"/>
          <w:bCs/>
          <w:color w:val="4D4D4D"/>
          <w:sz w:val="24"/>
          <w:szCs w:val="24"/>
          <w:highlight w:val="none"/>
          <w:lang w:eastAsia="zh-CN"/>
        </w:rPr>
        <w:t>法定代表人/负责人/授权代表（签名）：</w:t>
      </w:r>
    </w:p>
    <w:p>
      <w:pPr>
        <w:rPr>
          <w:rFonts w:hint="eastAsia" w:ascii="宋体" w:hAnsi="宋体" w:eastAsia="宋体" w:cs="宋体"/>
          <w:bCs/>
          <w:color w:val="4D4D4D"/>
          <w:sz w:val="24"/>
          <w:szCs w:val="24"/>
          <w:highlight w:val="none"/>
          <w:lang w:eastAsia="zh-CN"/>
        </w:rPr>
      </w:pPr>
      <w:r>
        <w:rPr>
          <w:rFonts w:hint="eastAsia" w:ascii="宋体" w:hAnsi="宋体" w:eastAsia="宋体" w:cs="宋体"/>
          <w:bCs/>
          <w:color w:val="4D4D4D"/>
          <w:sz w:val="24"/>
          <w:szCs w:val="24"/>
          <w:highlight w:val="none"/>
          <w:lang w:eastAsia="zh-CN"/>
        </w:rPr>
        <w:t>联系方式：</w:t>
      </w:r>
    </w:p>
    <w:p>
      <w:pPr>
        <w:rPr>
          <w:rFonts w:hint="eastAsia" w:ascii="宋体" w:hAnsi="宋体" w:eastAsia="宋体" w:cs="宋体"/>
          <w:bCs/>
          <w:color w:val="4D4D4D"/>
          <w:sz w:val="24"/>
          <w:szCs w:val="24"/>
          <w:highlight w:val="none"/>
          <w:lang w:eastAsia="zh-CN"/>
        </w:rPr>
      </w:pPr>
      <w:r>
        <w:rPr>
          <w:rFonts w:hint="eastAsia" w:ascii="宋体" w:hAnsi="宋体" w:eastAsia="宋体" w:cs="宋体"/>
          <w:bCs/>
          <w:color w:val="4D4D4D"/>
          <w:sz w:val="24"/>
          <w:szCs w:val="24"/>
          <w:highlight w:val="none"/>
          <w:lang w:eastAsia="zh-CN"/>
        </w:rPr>
        <w:t>签署日期：    年  月  日</w:t>
      </w:r>
    </w:p>
    <w:p>
      <w:pPr>
        <w:rPr>
          <w:rFonts w:hint="eastAsia" w:ascii="宋体" w:hAnsi="宋体" w:eastAsia="宋体" w:cs="宋体"/>
          <w:b/>
          <w:color w:val="4D4D4D"/>
          <w:sz w:val="24"/>
          <w:szCs w:val="24"/>
          <w:highlight w:val="none"/>
          <w:lang w:eastAsia="zh-CN"/>
        </w:rPr>
      </w:pPr>
    </w:p>
    <w:p>
      <w:pPr>
        <w:rPr>
          <w:rFonts w:hint="eastAsia" w:ascii="宋体" w:hAnsi="宋体" w:eastAsia="宋体" w:cs="宋体"/>
          <w:b/>
          <w:color w:val="4D4D4D"/>
          <w:sz w:val="24"/>
          <w:szCs w:val="24"/>
          <w:highlight w:val="none"/>
          <w:lang w:eastAsia="zh-CN"/>
        </w:rPr>
      </w:pPr>
    </w:p>
    <w:p>
      <w:pPr>
        <w:rPr>
          <w:rFonts w:hint="eastAsia" w:ascii="宋体" w:hAnsi="宋体" w:eastAsia="宋体" w:cs="宋体"/>
          <w:b/>
          <w:color w:val="4D4D4D"/>
          <w:sz w:val="24"/>
          <w:szCs w:val="24"/>
          <w:highlight w:val="none"/>
          <w:lang w:eastAsia="zh-CN"/>
        </w:rPr>
      </w:pPr>
      <w:r>
        <w:rPr>
          <w:rFonts w:hint="eastAsia" w:ascii="宋体" w:hAnsi="宋体" w:eastAsia="宋体" w:cs="宋体"/>
          <w:b/>
          <w:color w:val="4D4D4D"/>
          <w:sz w:val="24"/>
          <w:szCs w:val="24"/>
          <w:highlight w:val="none"/>
          <w:lang w:eastAsia="zh-CN"/>
        </w:rPr>
        <w:t>代理销售机构：</w:t>
      </w:r>
      <w:r>
        <w:rPr>
          <w:rFonts w:hint="eastAsia" w:ascii="宋体" w:hAnsi="宋体" w:eastAsia="宋体" w:cs="宋体"/>
          <w:b/>
          <w:bCs/>
          <w:spacing w:val="-1"/>
          <w:sz w:val="24"/>
          <w:szCs w:val="24"/>
          <w:highlight w:val="none"/>
          <w:lang w:eastAsia="zh-CN"/>
        </w:rPr>
        <w:t>重庆银行股份有限公司</w:t>
      </w:r>
      <w:r>
        <w:rPr>
          <w:rFonts w:hint="eastAsia" w:ascii="宋体" w:hAnsi="宋体" w:eastAsia="宋体" w:cs="宋体"/>
          <w:b/>
          <w:bCs/>
          <w:color w:val="4D4D4D"/>
          <w:sz w:val="24"/>
          <w:szCs w:val="24"/>
          <w:highlight w:val="none"/>
          <w:lang w:eastAsia="zh-CN"/>
        </w:rPr>
        <w:t xml:space="preserve"> </w:t>
      </w:r>
    </w:p>
    <w:p>
      <w:pPr>
        <w:rPr>
          <w:rFonts w:hint="eastAsia"/>
          <w:highlight w:val="none"/>
        </w:rPr>
      </w:pPr>
      <w:r>
        <w:rPr>
          <w:rFonts w:hint="eastAsia" w:ascii="宋体" w:hAnsi="宋体" w:eastAsia="宋体" w:cs="宋体"/>
          <w:b/>
          <w:color w:val="4D4D4D"/>
          <w:sz w:val="24"/>
          <w:szCs w:val="24"/>
          <w:highlight w:val="none"/>
        </w:rPr>
        <w:t>签署日期：    年  月  日</w:t>
      </w:r>
    </w:p>
    <w:sectPr>
      <w:type w:val="continuous"/>
      <w:pgSz w:w="11910" w:h="16840"/>
      <w:pgMar w:top="1440" w:right="1803" w:bottom="1553" w:left="1803"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6FF" w:usb1="420024FF" w:usb2="02000000" w:usb3="00000000" w:csb0="2000019F" w:csb1="00000000"/>
  </w:font>
  <w:font w:name="Calibri">
    <w:panose1 w:val="020F0502020204030204"/>
    <w:charset w:val="00"/>
    <w:family w:val="decorative"/>
    <w:pitch w:val="default"/>
    <w:sig w:usb0="E4002EFF" w:usb1="C000247B" w:usb2="00000009" w:usb3="00000000" w:csb0="200001FF" w:csb1="00000000"/>
  </w:font>
  <w:font w:name="Arial">
    <w:panose1 w:val="020B0604020202020204"/>
    <w:charset w:val="01"/>
    <w:family w:val="decorative"/>
    <w:pitch w:val="default"/>
    <w:sig w:usb0="E0002EFF" w:usb1="C000785B" w:usb2="00000009" w:usb3="00000000" w:csb0="400001FF" w:csb1="FFFF0000"/>
  </w:font>
  <w:font w:name="Courier New">
    <w:panose1 w:val="02070309020205020404"/>
    <w:charset w:val="01"/>
    <w:family w:val="swiss"/>
    <w:pitch w:val="default"/>
    <w:sig w:usb0="E0002E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Arial Unicode MS">
    <w:altName w:val="Arial"/>
    <w:panose1 w:val="020B0604020202020204"/>
    <w:charset w:val="80"/>
    <w:family w:val="roman"/>
    <w:pitch w:val="default"/>
    <w:sig w:usb0="00000000" w:usb1="00000000" w:usb2="0000003F" w:usb3="00000000" w:csb0="603F01FF" w:csb1="FFFF0000"/>
  </w:font>
  <w:font w:name="STKaitiSC-Black">
    <w:altName w:val="宋体"/>
    <w:panose1 w:val="00000000000000000000"/>
    <w:charset w:val="86"/>
    <w:family w:val="auto"/>
    <w:pitch w:val="default"/>
    <w:sig w:usb0="00000000" w:usb1="00000000" w:usb2="00000016" w:usb3="00000000" w:csb0="0004001F" w:csb1="00000000"/>
  </w:font>
  <w:font w:name="Arial">
    <w:panose1 w:val="020B0604020202020204"/>
    <w:charset w:val="00"/>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80"/>
    <w:family w:val="roman"/>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ZiNzdmMzNlZTcxNzY1ZGE1MTBiYTVmMjAwM2YxNmUifQ=="/>
  </w:docVars>
  <w:rsids>
    <w:rsidRoot w:val="22BB0174"/>
    <w:rsid w:val="00721F56"/>
    <w:rsid w:val="00A3405F"/>
    <w:rsid w:val="00A80647"/>
    <w:rsid w:val="00AC224F"/>
    <w:rsid w:val="00D2663C"/>
    <w:rsid w:val="014E0FB7"/>
    <w:rsid w:val="015679D0"/>
    <w:rsid w:val="02B56978"/>
    <w:rsid w:val="048207CA"/>
    <w:rsid w:val="05062F7D"/>
    <w:rsid w:val="05C709D3"/>
    <w:rsid w:val="08B51480"/>
    <w:rsid w:val="091C54CA"/>
    <w:rsid w:val="09423355"/>
    <w:rsid w:val="0E007A23"/>
    <w:rsid w:val="136F5020"/>
    <w:rsid w:val="17926292"/>
    <w:rsid w:val="18532767"/>
    <w:rsid w:val="194A4A7A"/>
    <w:rsid w:val="1D9962A2"/>
    <w:rsid w:val="1EB7274A"/>
    <w:rsid w:val="1F053FEF"/>
    <w:rsid w:val="2117483A"/>
    <w:rsid w:val="22BB0174"/>
    <w:rsid w:val="22D24721"/>
    <w:rsid w:val="240D651C"/>
    <w:rsid w:val="243F11DC"/>
    <w:rsid w:val="26A142AD"/>
    <w:rsid w:val="26A168A7"/>
    <w:rsid w:val="29D55E76"/>
    <w:rsid w:val="2E734AE6"/>
    <w:rsid w:val="30705F2D"/>
    <w:rsid w:val="37314419"/>
    <w:rsid w:val="37914637"/>
    <w:rsid w:val="38AC7283"/>
    <w:rsid w:val="3AC32FB7"/>
    <w:rsid w:val="3B334302"/>
    <w:rsid w:val="3B4162AE"/>
    <w:rsid w:val="3BB16FD5"/>
    <w:rsid w:val="3BBD07E1"/>
    <w:rsid w:val="432C4199"/>
    <w:rsid w:val="43670FED"/>
    <w:rsid w:val="495B6991"/>
    <w:rsid w:val="4ADF1390"/>
    <w:rsid w:val="4D480231"/>
    <w:rsid w:val="4DF37D88"/>
    <w:rsid w:val="4FF75F4F"/>
    <w:rsid w:val="503B6B0B"/>
    <w:rsid w:val="505843D2"/>
    <w:rsid w:val="529E60AD"/>
    <w:rsid w:val="52DF797E"/>
    <w:rsid w:val="53CE672C"/>
    <w:rsid w:val="54E164CF"/>
    <w:rsid w:val="55B87486"/>
    <w:rsid w:val="573945F7"/>
    <w:rsid w:val="59B66C46"/>
    <w:rsid w:val="5A958386"/>
    <w:rsid w:val="5C8B529D"/>
    <w:rsid w:val="5DA42F24"/>
    <w:rsid w:val="602640B5"/>
    <w:rsid w:val="615A5A67"/>
    <w:rsid w:val="61E8150A"/>
    <w:rsid w:val="630A3D21"/>
    <w:rsid w:val="63B514A9"/>
    <w:rsid w:val="6711084E"/>
    <w:rsid w:val="675A1A57"/>
    <w:rsid w:val="6764746E"/>
    <w:rsid w:val="6CEF31A0"/>
    <w:rsid w:val="74463A57"/>
    <w:rsid w:val="74A7522D"/>
    <w:rsid w:val="75B6546C"/>
    <w:rsid w:val="7873110A"/>
    <w:rsid w:val="79DC73BD"/>
    <w:rsid w:val="7AAEC5B6"/>
    <w:rsid w:val="FBF17780"/>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Arial Unicode MS" w:hAnsi="Arial Unicode MS" w:eastAsia="Arial Unicode MS" w:cs="Arial Unicode MS"/>
      <w:sz w:val="22"/>
      <w:szCs w:val="22"/>
      <w:lang w:val="en-US" w:eastAsia="en-US" w:bidi="ar-SA"/>
    </w:rPr>
  </w:style>
  <w:style w:type="paragraph" w:styleId="2">
    <w:name w:val="heading 1"/>
    <w:basedOn w:val="1"/>
    <w:next w:val="1"/>
    <w:qFormat/>
    <w:uiPriority w:val="9"/>
    <w:pPr>
      <w:spacing w:before="2"/>
      <w:ind w:left="671"/>
      <w:outlineLvl w:val="0"/>
    </w:pPr>
    <w:rPr>
      <w:rFonts w:ascii="STKaitiSC-Black" w:hAnsi="STKaitiSC-Black" w:eastAsia="STKaitiSC-Black" w:cs="STKaitiSC-Black"/>
      <w:b/>
      <w:bCs/>
      <w:sz w:val="16"/>
      <w:szCs w:val="16"/>
    </w:rPr>
  </w:style>
  <w:style w:type="character" w:default="1" w:styleId="11">
    <w:name w:val="Default Paragraph Font"/>
    <w:unhideWhenUsed/>
    <w:qFormat/>
    <w:uiPriority w:val="1"/>
  </w:style>
  <w:style w:type="table" w:default="1" w:styleId="14">
    <w:name w:val="Normal Table"/>
    <w:unhideWhenUsed/>
    <w:qFormat/>
    <w:uiPriority w:val="99"/>
    <w:tblPr>
      <w:tblLayout w:type="fixed"/>
      <w:tblCellMar>
        <w:top w:w="0" w:type="dxa"/>
        <w:left w:w="108" w:type="dxa"/>
        <w:bottom w:w="0" w:type="dxa"/>
        <w:right w:w="108" w:type="dxa"/>
      </w:tblCellMar>
    </w:tblPr>
  </w:style>
  <w:style w:type="paragraph" w:styleId="3">
    <w:name w:val="annotation text"/>
    <w:basedOn w:val="1"/>
    <w:unhideWhenUsed/>
    <w:qFormat/>
    <w:uiPriority w:val="99"/>
    <w:pPr>
      <w:spacing w:line="360" w:lineRule="auto"/>
    </w:pPr>
    <w:rPr>
      <w:rFonts w:eastAsia="宋体"/>
    </w:rPr>
  </w:style>
  <w:style w:type="paragraph" w:styleId="4">
    <w:name w:val="Body Text"/>
    <w:basedOn w:val="1"/>
    <w:qFormat/>
    <w:uiPriority w:val="1"/>
    <w:pPr>
      <w:ind w:left="352" w:firstLine="319"/>
    </w:pPr>
    <w:rPr>
      <w:sz w:val="16"/>
      <w:szCs w:val="16"/>
    </w:rPr>
  </w:style>
  <w:style w:type="paragraph" w:styleId="5">
    <w:name w:val="Body Text Indent"/>
    <w:basedOn w:val="1"/>
    <w:qFormat/>
    <w:uiPriority w:val="0"/>
    <w:pPr>
      <w:spacing w:after="120"/>
      <w:ind w:left="420" w:leftChars="200"/>
    </w:pPr>
    <w:rPr>
      <w:szCs w:val="21"/>
    </w:rPr>
  </w:style>
  <w:style w:type="paragraph" w:styleId="6">
    <w:name w:val="footer"/>
    <w:basedOn w:val="1"/>
    <w:link w:val="20"/>
    <w:qFormat/>
    <w:uiPriority w:val="0"/>
    <w:pPr>
      <w:tabs>
        <w:tab w:val="center" w:pos="4153"/>
        <w:tab w:val="right" w:pos="8306"/>
      </w:tabs>
      <w:snapToGrid w:val="0"/>
    </w:pPr>
    <w:rPr>
      <w:sz w:val="18"/>
      <w:szCs w:val="18"/>
    </w:rPr>
  </w:style>
  <w:style w:type="paragraph" w:styleId="7">
    <w:name w:val="Body Text First Indent 2"/>
    <w:basedOn w:val="5"/>
    <w:next w:val="4"/>
    <w:unhideWhenUsed/>
    <w:qFormat/>
    <w:uiPriority w:val="99"/>
    <w:pPr>
      <w:spacing w:after="0"/>
      <w:ind w:left="360" w:firstLine="360"/>
    </w:pPr>
  </w:style>
  <w:style w:type="paragraph" w:styleId="8">
    <w:name w:val="header"/>
    <w:basedOn w:val="1"/>
    <w:link w:val="19"/>
    <w:qFormat/>
    <w:uiPriority w:val="0"/>
    <w:pPr>
      <w:tabs>
        <w:tab w:val="center" w:pos="4153"/>
        <w:tab w:val="right" w:pos="8306"/>
      </w:tabs>
      <w:snapToGrid w:val="0"/>
      <w:jc w:val="center"/>
    </w:pPr>
    <w:rPr>
      <w:sz w:val="18"/>
      <w:szCs w:val="18"/>
    </w:rPr>
  </w:style>
  <w:style w:type="paragraph" w:styleId="9">
    <w:name w:val="Normal (Web)"/>
    <w:basedOn w:val="1"/>
    <w:qFormat/>
    <w:uiPriority w:val="0"/>
    <w:pPr>
      <w:spacing w:beforeAutospacing="1" w:afterAutospacing="1"/>
    </w:pPr>
    <w:rPr>
      <w:rFonts w:cs="Times New Roman"/>
      <w:sz w:val="24"/>
      <w:lang w:eastAsia="zh-CN"/>
    </w:rPr>
  </w:style>
  <w:style w:type="paragraph" w:styleId="10">
    <w:name w:val="Title"/>
    <w:basedOn w:val="1"/>
    <w:qFormat/>
    <w:uiPriority w:val="10"/>
    <w:pPr>
      <w:ind w:left="2403"/>
    </w:pPr>
    <w:rPr>
      <w:rFonts w:ascii="STKaitiSC-Black" w:hAnsi="STKaitiSC-Black" w:eastAsia="STKaitiSC-Black" w:cs="STKaitiSC-Black"/>
      <w:b/>
      <w:bCs/>
      <w:sz w:val="32"/>
      <w:szCs w:val="32"/>
    </w:rPr>
  </w:style>
  <w:style w:type="character" w:styleId="12">
    <w:name w:val="Hyperlink"/>
    <w:basedOn w:val="11"/>
    <w:qFormat/>
    <w:uiPriority w:val="0"/>
    <w:rPr>
      <w:color w:val="0000FF"/>
      <w:u w:val="single"/>
    </w:rPr>
  </w:style>
  <w:style w:type="character" w:styleId="13">
    <w:name w:val="annotation reference"/>
    <w:basedOn w:val="11"/>
    <w:unhideWhenUsed/>
    <w:qFormat/>
    <w:uiPriority w:val="99"/>
    <w:rPr>
      <w:sz w:val="21"/>
      <w:szCs w:val="21"/>
    </w:rPr>
  </w:style>
  <w:style w:type="character" w:customStyle="1" w:styleId="15">
    <w:name w:val="any"/>
    <w:basedOn w:val="11"/>
    <w:qFormat/>
    <w:uiPriority w:val="0"/>
  </w:style>
  <w:style w:type="paragraph" w:customStyle="1" w:styleId="16">
    <w:name w:val="p"/>
    <w:basedOn w:val="1"/>
    <w:qFormat/>
    <w:uiPriority w:val="0"/>
    <w:pPr>
      <w:spacing w:line="390" w:lineRule="atLeast"/>
      <w:ind w:firstLine="420"/>
      <w:textAlignment w:val="center"/>
    </w:pPr>
  </w:style>
  <w:style w:type="character" w:customStyle="1" w:styleId="17">
    <w:name w:val="span_sect2Title"/>
    <w:basedOn w:val="11"/>
    <w:qFormat/>
    <w:uiPriority w:val="0"/>
    <w:rPr>
      <w:b/>
      <w:bCs/>
    </w:rPr>
  </w:style>
  <w:style w:type="paragraph" w:customStyle="1" w:styleId="18">
    <w:name w:val="Revision"/>
    <w:hidden/>
    <w:unhideWhenUsed/>
    <w:qFormat/>
    <w:uiPriority w:val="99"/>
    <w:rPr>
      <w:rFonts w:ascii="Arial Unicode MS" w:hAnsi="Arial Unicode MS" w:eastAsia="Arial Unicode MS" w:cs="Arial Unicode MS"/>
      <w:sz w:val="22"/>
      <w:szCs w:val="22"/>
      <w:lang w:val="en-US" w:eastAsia="en-US" w:bidi="ar-SA"/>
    </w:rPr>
  </w:style>
  <w:style w:type="character" w:customStyle="1" w:styleId="19">
    <w:name w:val="页眉 字符"/>
    <w:basedOn w:val="11"/>
    <w:link w:val="8"/>
    <w:qFormat/>
    <w:uiPriority w:val="0"/>
    <w:rPr>
      <w:rFonts w:ascii="Arial Unicode MS" w:hAnsi="Arial Unicode MS" w:eastAsia="Arial Unicode MS" w:cs="Arial Unicode MS"/>
      <w:sz w:val="18"/>
      <w:szCs w:val="18"/>
      <w:lang w:eastAsia="en-US"/>
    </w:rPr>
  </w:style>
  <w:style w:type="character" w:customStyle="1" w:styleId="20">
    <w:name w:val="页脚 字符"/>
    <w:basedOn w:val="11"/>
    <w:link w:val="6"/>
    <w:qFormat/>
    <w:uiPriority w:val="0"/>
    <w:rPr>
      <w:rFonts w:ascii="Arial Unicode MS" w:hAnsi="Arial Unicode MS" w:eastAsia="Arial Unicode MS" w:cs="Arial Unicode MS"/>
      <w:sz w:val="18"/>
      <w:szCs w:val="18"/>
      <w:lang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contractReview xmlns="http://schemas.wps.cn/vas-ai-hub/contract-review">
  <reviewItems>
    <reviewItem>
      <errorID>674221b3-4b70-4083-8840-d63f179b94f1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68A2898A</paraID>
      <start>0</start>
      <end>2</end>
      <status>unmodified</status>
      <modifiedWord/>
      <trackRevisions>false</trackRevisions>
    </reviewItem>
    <reviewItem>
      <errorID>cfc15191-7f57-41c5-ae3c-a4c3591051e7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5C9D57FE</paraID>
      <start>0</start>
      <end>2</end>
      <status>unmodified</status>
      <modifiedWord/>
      <trackRevisions>false</trackRevisions>
    </reviewItem>
    <reviewItem>
      <errorID>7ea47b7e-cf00-460b-b107-22e868dbdefb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7D6088E1</paraID>
      <start>0</start>
      <end>2</end>
      <status>unmodified</status>
      <modifiedWord/>
      <trackRevisions>false</trackRevisions>
    </reviewItem>
    <reviewItem>
      <errorID>e1be4b17-e4cb-4448-a22e-c1ff866d691c</errorID>
      <errorWord>为</errorWord>
      <group>L1_Word</group>
      <groupName>字词问题</groupName>
      <ability>L2_Typo</ability>
      <abilityName>字词错误</abilityName>
      <candidateList>
        <item>的</item>
      </candidateList>
      <explain>存在字形相近字词的误用。</explain>
      <paraID>7D6088E1</paraID>
      <start>161</start>
      <end>162</end>
      <status>unmodified</status>
      <modifiedWord/>
      <trackRevisions>false</trackRevisions>
    </reviewItem>
    <reviewItem>
      <errorID>ec8afbd1-2823-42ba-8052-eea04bb043c7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562B2E7D</paraID>
      <start>0</start>
      <end>2</end>
      <status>unmodified</status>
      <modifiedWord/>
      <trackRevisions>false</trackRevisions>
    </reviewItem>
    <reviewItem>
      <errorID>88d5bf89-3f2c-4240-b41f-f3293ce64ac5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A2F4E5A</paraID>
      <start>0</start>
      <end>2</end>
      <status>unmodified</status>
      <modifiedWord/>
      <trackRevisions>false</trackRevisions>
    </reviewItem>
    <reviewItem>
      <errorID>b6cf7b4c-3c5c-401e-a5c8-932e4878e686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BBC67BE</paraID>
      <start>0</start>
      <end>2</end>
      <status>unmodified</status>
      <modifiedWord/>
      <trackRevisions>false</trackRevisions>
    </reviewItem>
    <reviewItem>
      <errorID>5478da72-d7f5-40f0-8fa2-860ead02d16c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249C9381</paraID>
      <start>0</start>
      <end>2</end>
      <status>unmodified</status>
      <modifiedWord/>
      <trackRevisions>false</trackRevisions>
    </reviewItem>
    <reviewItem>
      <errorID>919caba9-35bf-4efc-a116-eed4bd11cb05</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21BB9504</paraID>
      <start>0</start>
      <end>2</end>
      <status>unmodified</status>
      <modifiedWord/>
      <trackRevisions>false</trackRevisions>
    </reviewItem>
    <reviewItem>
      <errorID>feeec687-d689-4385-b399-1f93d9ba7860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741B9720</paraID>
      <start>0</start>
      <end>2</end>
      <status>unmodified</status>
      <modifiedWord/>
      <trackRevisions>false</trackRevisions>
    </reviewItem>
    <reviewItem>
      <errorID>da795045-01db-4f54-a227-4fa60c03f2ea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24B2E7D7</paraID>
      <start>0</start>
      <end>3</end>
      <status>unmodified</status>
      <modifiedWord/>
      <trackRevisions>false</trackRevisions>
    </reviewItem>
    <reviewItem>
      <errorID>1c4a0d6d-6623-49df-a74d-29f8b51b8b99</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ACA8289</paraID>
      <start>0</start>
      <end>3</end>
      <status>unmodified</status>
      <modifiedWord/>
      <trackRevisions>false</trackRevisions>
    </reviewItem>
    <reviewItem>
      <errorID>03fda938-0b31-4f53-ac31-959b7b0ddb31</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6161075B</paraID>
      <start>0</start>
      <end>3</end>
      <status>unmodified</status>
      <modifiedWord/>
      <trackRevisions>false</trackRevisions>
    </reviewItem>
    <reviewItem>
      <errorID>9ff5389a-c11f-4317-8b4d-5da60c0bd2b4</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4F6990A3</paraID>
      <start>0</start>
      <end>3</end>
      <status>unmodified</status>
      <modifiedWord/>
      <trackRevisions>false</trackRevisions>
    </reviewItem>
    <reviewItem>
      <errorID>83badfa5-60eb-4238-90a3-3d87cbe6c403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393C3461</paraID>
      <start>0</start>
      <end>2</end>
      <status>unmodified</status>
      <modifiedWord/>
      <trackRevisions>false</trackRevisions>
    </reviewItem>
    <reviewItem>
      <errorID>b715aacc-dd0f-4a8f-bfc6-70e29f154f08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6F45F58C</paraID>
      <start>0</start>
      <end>2</end>
      <status>unmodified</status>
      <modifiedWord/>
      <trackRevisions>false</trackRevisions>
    </reviewItem>
    <reviewItem>
      <errorID>94b2f151-b615-4c66-9991-7d3ffeff542f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2E9A0C9B</paraID>
      <start>0</start>
      <end>2</end>
      <status>unmodified</status>
      <modifiedWord/>
      <trackRevisions>false</trackRevisions>
    </reviewItem>
    <reviewItem>
      <errorID>38613f6e-aee6-48c0-9893-0d558d6233db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3D4F8AF2</paraID>
      <start>0</start>
      <end>2</end>
      <status>unmodified</status>
      <modifiedWord/>
      <trackRevisions>false</trackRevisions>
    </reviewItem>
    <reviewItem>
      <errorID>fd49902c-eaec-486c-8bf3-47806ad887e6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1668DBF2</paraID>
      <start>0</start>
      <end>2</end>
      <status>unmodified</status>
      <modifiedWord/>
      <trackRevisions>false</trackRevisions>
    </reviewItem>
    <reviewItem>
      <errorID>7021befe-96c1-48d0-874f-31699b8d3f66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3A3DFC2B</paraID>
      <start>0</start>
      <end>2</end>
      <status>unmodified</status>
      <modifiedWord/>
      <trackRevisions>false</trackRevisions>
    </reviewItem>
    <reviewItem>
      <errorID>3d83dfc6-a3e9-45a9-a324-45b5cabca2f8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4D5078B3</paraID>
      <start>0</start>
      <end>2</end>
      <status>unmodified</status>
      <modifiedWord/>
      <trackRevisions>false</trackRevisions>
    </reviewItem>
    <reviewItem>
      <errorID>d30d9ae0-04a5-4e2a-908c-204ffc46e298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29617947</paraID>
      <start>0</start>
      <end>2</end>
      <status>unmodified</status>
      <modifiedWord/>
      <trackRevisions>false</trackRevisions>
    </reviewItem>
    <reviewItem>
      <errorID>0b2d17c7-22bd-43f2-8f26-c8beb71d392e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3DA87CBC</paraID>
      <start>0</start>
      <end>2</end>
      <status>unmodified</status>
      <modifiedWord/>
      <trackRevisions>false</trackRevisions>
    </reviewItem>
    <reviewItem>
      <errorID>ae825f48-8169-4d18-a139-f61eb4dd03fd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1561E681</paraID>
      <start>0</start>
      <end>2</end>
      <status>unmodified</status>
      <modifiedWord/>
      <trackRevisions>false</trackRevisions>
    </reviewItem>
    <reviewItem>
      <errorID>47e9b857-bd6f-4a91-aba2-e3020d3085d0</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7BE21F8F</paraID>
      <start>92</start>
      <end>94</end>
      <status>unmodified</status>
      <modifiedWord/>
      <trackRevisions>false</trackRevisions>
    </reviewItem>
    <reviewItem>
      <errorID>3cdf1f38-e333-4fda-bb69-35689d26d1a7</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7BE21F8F</paraID>
      <start>103</start>
      <end>105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838DEA3-B8A7-44D0-9AF0-B57BED661502}">
  <ds:schemaRefs/>
</ds:datastoreItem>
</file>

<file path=docProps/app.xml><?xml version="1.0" encoding="utf-8"?>
<Properties xmlns="http://schemas.openxmlformats.org/officeDocument/2006/extended-properties" xmlns:vt="http://schemas.openxmlformats.org/officeDocument/2006/docPropsVTypes">
  <Template>Normal</Template>
  <Pages>4</Pages>
  <Words>3725</Words>
  <Characters>3769</Characters>
  <Lines>76</Lines>
  <Paragraphs>46</Paragraphs>
  <TotalTime>0</TotalTime>
  <ScaleCrop>false</ScaleCrop>
  <LinksUpToDate>false</LinksUpToDate>
  <CharactersWithSpaces>3831</CharactersWithSpaces>
  <Application>WPS Office_10.8.0.5603_F1E327BC-269C-435d-A152-05C5408002CA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2023-12-12T03:01:00Z</dcterms:created>
  <dc:creator>宋爽 法律合规部</dc:creator>
  <cp:lastModifiedBy>沈兹玖_产品管理部</cp:lastModifiedBy>
  <dcterms:modified xsi:type="dcterms:W3CDTF">2026-03-30T09:02:53Z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2052-10.8.0.5603</vt:lpwstr>
  </property>
  <property fmtid="{D5CDD505-2E9C-101B-9397-08002B2CF9AE}" pid="3" name="ICV">
    <vt:lpwstr>3945DB74E62B413386DB1853A0F27BD6</vt:lpwstr>
  </property>
  <property fmtid="{D5CDD505-2E9C-101B-9397-08002B2CF9AE}" pid="4" name="KSOTemplateDocerSaveRecord">
    <vt:lpwstr>eyJoZGlkIjoiMWQxZTNiYmViODE3YzFlYTRjNTA5OWI3YzUyNTllMTAiLCJ1c2VySWQiOiI1NzYyNTY0ODcifQ==</vt:lpwstr>
  </property>
</Properties>
</file>