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CN" w:bidi="ar-SA"/>
        </w:rPr>
        <w:t>幸福99益合·添益（年年红）1年定开型2507期理财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Z7002225000062</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幸福99益合·添益（年年红）1年定开型2507期理财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幸福99益合·添益（年年红）1年定开型2507期理财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添益（年年红）1年定开型2507期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TYG12M2507</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Z7002225000062</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A份额（销售代码〖TYG12M2507A〗）：面向〖普通个人投资者和机构投资者〗发售。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B份额（销售代码〖TYG12M2507B〗）：面向〖普通个人投资者和机构投资者〗发售。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H份额（销售代码〖TYG12M2507H〗）：普通个人投资者和机构客户。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L份额（兰州银行开门红专属）（销售代码〖TYG12M2507L〗）：面向〖普通个人投资者和机构投资者〗发售。</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ZA份额（自动赎回）（销售代码〖TYG12M2507ZA〗）：普通个人投资者和机构客户。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ZB份额（自动赎回）（销售代码〖TYG12M2507ZB〗）：普通个人投资者和机构客户。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ZC份额（自动赎回）（销售代码〖TYG12M2507ZC〗）：普通个人投资者和机构客户。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ZD份额（自动赎回）（销售代码〖TYG12M2507ZD〗）：普通个人投资者和机构客户。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2</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2025</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7</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〖H份额〗起点〖0.01〗元整，超过认购/申购起点部分，应为〖0.01〗元的整数倍。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〖L份额〗起点〖0.01〗元整，超过认购/申购起点部分，应为〖0.01〗元的整数倍。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〖ZA份额〗起点〖0.01〗元整，超过认购/申购起点部分，应为〖0.01〗元的整数倍。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〖ZB份额〗起点〖0.01〗元整，超过认购/申购起点部分，应为〖0.01〗元的整数倍。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〖ZC份额〗起点〖0.01〗元整，超过认购/申购起点部分，应为〖0.01〗元的整数倍。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〖ZD份额〗起点〖0.01〗元整，超过认购/申购起点部分，应为〖0.01〗元的整数倍。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每年</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18</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2026</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3</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val="0"/>
              <w:suppressLineNumbers w:val="0"/>
              <w:spacing w:before="0" w:beforeAutospacing="0" w:after="0" w:afterAutospacing="0" w:line="360" w:lineRule="auto"/>
              <w:ind w:left="0" w:right="0"/>
              <w:contextualSpacing/>
              <w:jc w:val="both"/>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eastAsia="宋体" w:cs="宋体"/>
                <w:color w:val="000000"/>
                <w:kern w:val="2"/>
                <w:sz w:val="21"/>
                <w:szCs w:val="21"/>
                <w:highlight w:val="none"/>
                <w:lang w:val="en-US" w:eastAsia="zh-CN" w:bidi="ar"/>
              </w:rPr>
              <w:t>（</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ZA份额</w:t>
            </w:r>
            <w:r>
              <w:rPr>
                <w:rFonts w:hint="eastAsia" w:ascii="宋体" w:hAnsi="宋体" w:cs="宋体"/>
                <w:color w:val="000000"/>
                <w:sz w:val="21"/>
                <w:szCs w:val="21"/>
                <w:highlight w:val="none"/>
              </w:rPr>
              <w:t>〗</w:t>
            </w:r>
            <w:r>
              <w:rPr>
                <w:rFonts w:hint="eastAsia" w:ascii="宋体" w:hAnsi="宋体" w:cs="宋体"/>
                <w:color w:val="000000"/>
                <w:kern w:val="2"/>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 w:bidi="ar"/>
              </w:rPr>
              <w:t>ZB</w:t>
            </w:r>
            <w:r>
              <w:rPr>
                <w:rFonts w:hint="eastAsia" w:ascii="宋体" w:hAnsi="宋体" w:eastAsia="宋体" w:cs="宋体"/>
                <w:b w:val="0"/>
                <w:bCs w:val="0"/>
                <w:color w:val="000000"/>
                <w:kern w:val="0"/>
                <w:sz w:val="21"/>
                <w:szCs w:val="21"/>
                <w:highlight w:val="none"/>
                <w:lang w:val="en-US" w:eastAsia="zh-CN" w:bidi="ar"/>
              </w:rPr>
              <w:t>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ZC份额</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w:t>
            </w:r>
            <w:r>
              <w:rPr>
                <w:rFonts w:hint="eastAsia" w:ascii="宋体" w:hAnsi="宋体" w:cs="宋体"/>
                <w:color w:val="000000"/>
                <w:sz w:val="21"/>
                <w:szCs w:val="21"/>
                <w:highlight w:val="none"/>
              </w:rPr>
              <w:t>〖</w:t>
            </w:r>
            <w:r>
              <w:rPr>
                <w:rFonts w:hint="eastAsia" w:ascii="宋体" w:hAnsi="宋体" w:cs="宋体"/>
                <w:b w:val="0"/>
                <w:bCs w:val="0"/>
                <w:color w:val="000000"/>
                <w:kern w:val="0"/>
                <w:sz w:val="21"/>
                <w:szCs w:val="21"/>
                <w:highlight w:val="none"/>
                <w:lang w:val="en-US" w:eastAsia="zh" w:bidi="ar"/>
              </w:rPr>
              <w:t>ZD份额</w:t>
            </w:r>
            <w:r>
              <w:rPr>
                <w:rFonts w:hint="eastAsia" w:ascii="宋体" w:hAnsi="宋体" w:cs="宋体"/>
                <w:color w:val="000000"/>
                <w:sz w:val="21"/>
                <w:szCs w:val="21"/>
                <w:highlight w:val="none"/>
              </w:rPr>
              <w:t>〗</w:t>
            </w:r>
            <w:r>
              <w:rPr>
                <w:rFonts w:hint="eastAsia" w:ascii="宋体" w:hAnsi="宋体" w:eastAsia="宋体" w:cs="宋体"/>
                <w:b w:val="0"/>
                <w:bCs w:val="0"/>
                <w:color w:val="000000"/>
                <w:kern w:val="0"/>
                <w:sz w:val="21"/>
                <w:szCs w:val="21"/>
                <w:highlight w:val="none"/>
                <w:lang w:val="en-US" w:eastAsia="zh-CN" w:bidi="ar"/>
              </w:rPr>
              <w:t>无需进行</w:t>
            </w:r>
            <w:r>
              <w:rPr>
                <w:rFonts w:hint="eastAsia" w:ascii="宋体" w:hAnsi="宋体" w:eastAsia="宋体" w:cs="宋体"/>
                <w:b w:val="0"/>
                <w:bCs w:val="0"/>
                <w:color w:val="000000"/>
                <w:kern w:val="0"/>
                <w:sz w:val="21"/>
                <w:szCs w:val="21"/>
                <w:highlight w:val="none"/>
                <w:lang w:val="en-US" w:eastAsia="zh" w:bidi="ar"/>
              </w:rPr>
              <w:t>赎回</w:t>
            </w:r>
            <w:r>
              <w:rPr>
                <w:rFonts w:hint="eastAsia" w:ascii="宋体" w:hAnsi="宋体" w:eastAsia="宋体" w:cs="宋体"/>
                <w:b w:val="0"/>
                <w:bCs w:val="0"/>
                <w:color w:val="000000"/>
                <w:kern w:val="0"/>
                <w:sz w:val="21"/>
                <w:szCs w:val="21"/>
                <w:highlight w:val="none"/>
                <w:lang w:val="en-US" w:eastAsia="zh-CN" w:bidi="ar"/>
              </w:rPr>
              <w:t>申请，在每个投资周期结束日由系统自动为所有持仓投资者发起全部持有份额赎回申请，上一投资周期投资者的所有持仓份额不会进入下一个投资周期</w:t>
            </w:r>
            <w:r>
              <w:rPr>
                <w:rFonts w:hint="eastAsia" w:ascii="宋体" w:hAnsi="宋体" w:eastAsia="宋体" w:cs="宋体"/>
                <w:color w:val="000000"/>
                <w:kern w:val="2"/>
                <w:sz w:val="21"/>
                <w:szCs w:val="21"/>
                <w:highlight w:val="none"/>
                <w:lang w:val="en-US" w:eastAsia="zh-CN" w:bidi="ar"/>
              </w:rPr>
              <w:t>）</w:t>
            </w:r>
            <w:r>
              <w:rPr>
                <w:rFonts w:hint="eastAsia" w:ascii="宋体" w:hAnsi="宋体" w:eastAsia="宋体" w:cs="宋体"/>
                <w:color w:val="000000"/>
                <w:kern w:val="2"/>
                <w:sz w:val="21"/>
                <w:szCs w:val="21"/>
                <w:highlight w:val="none"/>
                <w:lang w:val="en-US" w:eastAsia="zh" w:bidi="ar"/>
              </w:rPr>
              <w:t>。</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〖H份额〗单户持有上限为〖1〗亿元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〖L份额〗单户持有上限为〖1〗亿元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〖ZC份额〗单户持有上限为〖1〗亿元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〖ZD份额〗单户持有上限为〖1〗亿元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本理财计划〖A份额〗业绩比较基准为〖2.45%-2.65%〗（年化）。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本理财计划〖H份额〗业绩比较基准为〖2.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45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2.65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本理财计划〖L份额〗业绩比较基准为〖2.55%-2.75%〗（年化）。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本理财计划〖ZA份额〗业绩比较基准为〖2.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45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2.65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本理财计划〖ZB份额〗业绩比较基准为〖2.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55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2.75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本理财计划〖ZC份额〗业绩比较基准为〖2.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65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2.85</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本理财计划〖ZD份额〗业绩比较基准为〖2.</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60</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w:t>
            </w:r>
            <w:r>
              <w:rPr>
                <w:rFonts w:hint="eastAsia" w:ascii="宋体" w:hAnsi="宋体" w:cs="宋体"/>
                <w:b/>
                <w:i w:val="0"/>
                <w:caps w:val="0"/>
                <w:strike w:val="0"/>
                <w:dstrike w:val="0"/>
                <w:shadow w:val="0"/>
                <w:emboss w:val="0"/>
                <w:imprint w:val="0"/>
                <w:color w:val="auto"/>
                <w:kern w:val="2"/>
                <w:position w:val="-1"/>
                <w:sz w:val="21"/>
                <w:u w:val="none"/>
                <w:vertAlign w:val="baseline"/>
                <w:lang w:val="en-US" w:eastAsia="zh-CN"/>
              </w:rPr>
              <w:t>2.80</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t>%〗（年化）。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本理财计划重点投资于货币市场工具、债券、非标准化债权类资产等资产，管理人根据固定收益市场历史表现，结合当前利率水平、资产配比及市场同类型产品情况，经综合判断得出。</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bCs/>
                <w:color w:val="FF0000"/>
                <w:sz w:val="21"/>
                <w:szCs w:val="21"/>
                <w:highlight w:val="none"/>
                <w:lang w:eastAsia="zh"/>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〖B份额〗收取年化〖0.20%〗的销售服务费, 〖H份额〗收取年化〖0.30%〗的销售服务费, 〖L份额〗收取年化〖0.20%〗的销售服务费, 〖ZA份额〗收取年化〖0.30%〗的销售服务费, 〖ZB份额〗收取年化〖0.20%〗的销售服务费, 〖ZC份额〗收取年化〖0.10%〗的销售服务费, 〖ZD份额〗收取年化〖0.15%〗的销售服务费。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〖A份额〗收取年化〖0.20%〗的固定管理费, 〖B份额〗收取年化〖0.20%〗的固定管理费, 〖H份额〗收取年化〖0.20%〗的固定管理费, 〖L份额〗收取年化〖0.20%〗的固定管理费, 〖ZA份额〗收取年化〖0.20%〗的固定管理费, 〖ZB份额〗收取年化〖0.20%〗的固定管理费, 〖ZC份额〗收取年化〖0.20%〗的固定管理费, 〖ZD份额〗收取年化〖0.20%〗的固定管理费。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本理财计划份额投资周期的折合年化收益率在〖业绩比较基准下限（含）至业绩比较基准上限（含）〗的部分，管理人提取〖50%〗作为浮动管理费，在折合年化收益率超过〖业绩比较基准上限〗的部分，管理人提取〖80%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固定收益类资产：包括但不限于各类债券、存款、货币市场金融工具、债券基金、质押式及买断式回购、非标准化债权类资产，其他符合监管要求的固定收益类资产及资产管理产品。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90%-100%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特殊资产类型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非标准化债权类资产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0%-50%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9"/>
        <w:keepNext w:val="0"/>
        <w:keepLines w:val="0"/>
        <w:widowControl w:val="0"/>
        <w:numPr>
          <w:ilvl w:val="0"/>
          <w:numId w:val="14"/>
        </w:numPr>
        <w:suppressLineNumbers w:val="0"/>
        <w:autoSpaceDE w:val="0"/>
        <w:autoSpaceDN w:val="0"/>
        <w:adjustRightInd w:val="0"/>
        <w:spacing w:before="0" w:beforeAutospacing="0" w:after="0" w:afterAutospacing="0" w:line="360" w:lineRule="auto"/>
        <w:ind w:left="0" w:right="0" w:firstLine="40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
        </w:rPr>
        <w:t>资产配置策略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jc w:val="left"/>
        <w:rPr>
          <w:rFonts w:hint="eastAsia" w:ascii="宋体" w:hAnsi="宋体" w:eastAsia="宋体" w:cs="宋体"/>
          <w:color w:val="000000"/>
          <w:sz w:val="21"/>
          <w:szCs w:val="21"/>
        </w:rPr>
      </w:pPr>
      <w:r>
        <w:rPr>
          <w:rFonts w:hint="eastAsia" w:ascii="宋体" w:hAnsi="宋体" w:eastAsia="宋体" w:cs="宋体"/>
          <w:color w:val="000000"/>
          <w:kern w:val="2"/>
          <w:sz w:val="24"/>
          <w:szCs w:val="24"/>
          <w:lang w:val="en-US" w:eastAsia="zh-CN" w:bidi="ar"/>
        </w:rPr>
        <w:t xml:space="preserve">    将通过对宏观经济形势、各项国家政策、及证券市场环境的分析来判断经济周期目前的位置，主动判断市场时机进行资产配置，确定在债券、非标准化债权类资产、权益类资产等各类资产上的投资比例。</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债券投资策略</w:t>
      </w:r>
    </w:p>
    <w:p>
      <w:pPr>
        <w:pStyle w:val="9"/>
        <w:keepNext w:val="0"/>
        <w:keepLines w:val="0"/>
        <w:widowControl w:val="0"/>
        <w:suppressLineNumbers w:val="0"/>
        <w:autoSpaceDE w:val="0"/>
        <w:autoSpaceDN w:val="0"/>
        <w:adjustRightInd w:val="0"/>
        <w:spacing w:before="0" w:beforeAutospacing="0" w:after="0" w:afterAutospacing="0" w:line="360" w:lineRule="auto"/>
        <w:ind w:left="0" w:right="0" w:firstLine="480" w:firstLineChars="200"/>
        <w:jc w:val="left"/>
        <w:rPr>
          <w:rFonts w:hint="eastAsia" w:ascii="宋体" w:hAnsi="宋体" w:eastAsia="宋体" w:cs="宋体"/>
          <w:color w:val="000000"/>
          <w:sz w:val="24"/>
          <w:szCs w:val="24"/>
        </w:rPr>
      </w:pPr>
      <w:r>
        <w:rPr>
          <w:rFonts w:hint="eastAsia" w:ascii="宋体" w:hAnsi="宋体" w:eastAsia="宋体" w:cs="宋体"/>
          <w:color w:val="000000"/>
          <w:kern w:val="2"/>
          <w:sz w:val="24"/>
          <w:szCs w:val="24"/>
          <w:lang w:val="en-US" w:eastAsia="zh-CN" w:bidi="ar"/>
        </w:rPr>
        <w:t>管理人本着稳健投资的理念，在研究债券市场宏观环境和利率走势的基础上，严格评估信用风险，通过久期策略、骑乘策略、杠杆策略和交易策略等，配置固定收益资产及资产管理产品，力争获取稳定收益。</w:t>
      </w:r>
    </w:p>
    <w:p>
      <w:pPr>
        <w:keepNext w:val="0"/>
        <w:keepLines w:val="0"/>
        <w:widowControl w:val="0"/>
        <w:numPr>
          <w:ilvl w:val="0"/>
          <w:numId w:val="15"/>
        </w:numPr>
        <w:suppressLineNumbers w:val="0"/>
        <w:spacing w:before="0" w:beforeAutospacing="0" w:after="0" w:afterAutospacing="0" w:line="360" w:lineRule="auto"/>
        <w:ind w:left="0" w:right="0" w:firstLine="403"/>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非标准化债权类资产投资策略</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管理人发挥自身能力优势，在合规前提下开展风险可控、期限匹配的非标准化债权类资产投资，力争获取稳定收益。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20"/>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9"/>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2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600" w:type="dxa"/>
        <w:tblInd w:w="37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00"/>
        <w:gridCol w:w="1600"/>
        <w:gridCol w:w="1200"/>
        <w:gridCol w:w="3800"/>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销售机构信息</w:t>
            </w: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浙江省杭州市上城区解放东路168号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95398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杭银理财有限责任公司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浙江省杭州市拱墅区庆春路38号金龙财富中心6层</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400-8950-999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兰州银行股份有限公司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甘肃省兰州市城关区酒泉路211路</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400-88-96799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大连农村商业银行股份有限公司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辽宁省大连经济技术开发区五彩城A区1栋-A1号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96689</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汉口银行股份有限公司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湖北省武汉市江汉区建设大道933号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4006096558</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restart"/>
            <w:vAlign w:val="center"/>
          </w:tcPr>
          <w:p>
            <w:pPr>
              <w:keepNext w:val="0"/>
              <w:keepLines w:val="0"/>
              <w:suppressLineNumbers w:val="0"/>
              <w:spacing w:before="0" w:beforeAutospacing="0" w:after="0" w:afterAutospacing="0"/>
              <w:ind w:left="0" w:right="0"/>
              <w:jc w:val="center"/>
              <w:rPr>
                <w:rFonts w:hint="default"/>
              </w:rPr>
            </w:pPr>
            <w:r>
              <w:rPr>
                <w:rFonts w:hint="default"/>
              </w:rPr>
              <w:t>绍兴银行股份有限公司</w:t>
            </w: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住所</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浙江省绍兴市越城区塔山街道中兴南路1号</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600" w:type="dxa"/>
            <w:vMerge w:val="continue"/>
            <w:vAlign w:val="center"/>
          </w:tcPr>
          <w:p>
            <w:pPr>
              <w:keepNext w:val="0"/>
              <w:keepLines w:val="0"/>
              <w:suppressLineNumbers w:val="0"/>
              <w:spacing w:before="0" w:beforeAutospacing="0" w:after="0" w:afterAutospacing="0"/>
              <w:ind w:left="0" w:right="0"/>
              <w:jc w:val="center"/>
              <w:rPr>
                <w:rFonts w:hint="default"/>
              </w:rPr>
            </w:pPr>
          </w:p>
        </w:tc>
        <w:tc>
          <w:tcPr>
            <w:tcW w:w="1200" w:type="dxa"/>
            <w:vAlign w:val="center"/>
          </w:tcPr>
          <w:p>
            <w:pPr>
              <w:keepNext w:val="0"/>
              <w:keepLines w:val="0"/>
              <w:suppressLineNumbers w:val="0"/>
              <w:spacing w:before="0" w:beforeAutospacing="0" w:after="0" w:afterAutospacing="0"/>
              <w:ind w:left="0" w:right="0"/>
              <w:jc w:val="left"/>
              <w:rPr>
                <w:rFonts w:hint="default"/>
              </w:rPr>
            </w:pPr>
            <w:r>
              <w:rPr>
                <w:rFonts w:hint="default"/>
              </w:rPr>
              <w:t>客服热线</w:t>
            </w:r>
          </w:p>
        </w:tc>
        <w:tc>
          <w:tcPr>
            <w:tcW w:w="3800" w:type="dxa"/>
            <w:vAlign w:val="center"/>
          </w:tcPr>
          <w:p>
            <w:pPr>
              <w:keepNext w:val="0"/>
              <w:keepLines w:val="0"/>
              <w:suppressLineNumbers w:val="0"/>
              <w:spacing w:before="0" w:beforeAutospacing="0" w:after="0" w:afterAutospacing="0"/>
              <w:ind w:left="0" w:right="0"/>
              <w:jc w:val="center"/>
              <w:rPr>
                <w:rFonts w:hint="default"/>
              </w:rPr>
            </w:pPr>
            <w:r>
              <w:rPr>
                <w:rFonts w:hint="default"/>
              </w:rPr>
              <w:t>13606751337</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Ex>
        <w:tc>
          <w:tcPr>
            <w:tcW w:w="1000" w:type="dxa"/>
            <w:vAlign w:val="center"/>
          </w:tcPr>
          <w:p>
            <w:pPr>
              <w:keepNext w:val="0"/>
              <w:keepLines w:val="0"/>
              <w:suppressLineNumbers w:val="0"/>
              <w:spacing w:before="0" w:beforeAutospacing="0" w:after="0" w:afterAutospacing="0"/>
              <w:ind w:left="0" w:right="0"/>
              <w:jc w:val="center"/>
              <w:rPr>
                <w:rFonts w:hint="default"/>
              </w:rPr>
            </w:pPr>
            <w:r>
              <w:rPr>
                <w:rFonts w:hint="default"/>
              </w:rPr>
              <w:t>销售机构职责</w:t>
            </w:r>
          </w:p>
        </w:tc>
        <w:tc>
          <w:tcPr>
            <w:tcW w:w="6600" w:type="dxa"/>
            <w:gridSpan w:val="3"/>
            <w:vAlign w:val="center"/>
          </w:tcPr>
          <w:p>
            <w:pPr>
              <w:keepNext w:val="0"/>
              <w:keepLines w:val="0"/>
              <w:suppressLineNumbers w:val="0"/>
              <w:spacing w:before="0" w:beforeAutospacing="0" w:after="0" w:afterAutospacing="0"/>
              <w:ind w:left="0" w:right="0"/>
              <w:jc w:val="left"/>
              <w:rPr>
                <w:rFonts w:hint="default"/>
              </w:rPr>
            </w:pPr>
            <w:r>
              <w:rPr>
                <w:rFonts w:hint="default"/>
              </w:rPr>
              <w:t>主要负责理财计划推广、投资者风险承受能力评估、投资者适当性管理、理财计划份额认购、申购及赎回办理。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8"/>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7"/>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3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000000"/>
          <w:kern w:val="2"/>
          <w:position w:val="-1"/>
          <w:sz w:val="24"/>
          <w:u w:val="none"/>
          <w:vertAlign w:val="baseline"/>
        </w:rPr>
        <w:t>理财计划财产为每日计提销售服务费的〖A份额〗、〖B份额〗、〖H份额〗、〖L份额〗、〖ZA份额〗、〖ZB份额〗、〖ZC份额〗、〖ZD份额〗。A份额的年化销售服务费率为〖0.30%〗, B份额的年化销售服务费率为〖0.20%〗, H份额的年化销售服务费率为〖0.30%〗, L份额的年化销售服务费率为〖0.</w:t>
      </w:r>
      <w:r>
        <w:rPr>
          <w:rFonts w:hint="eastAsia" w:ascii="宋体" w:hAnsi="宋体" w:cs="宋体"/>
          <w:b w:val="0"/>
          <w:i w:val="0"/>
          <w:caps w:val="0"/>
          <w:strike w:val="0"/>
          <w:dstrike w:val="0"/>
          <w:shadow w:val="0"/>
          <w:emboss w:val="0"/>
          <w:imprint w:val="0"/>
          <w:color w:val="000000"/>
          <w:kern w:val="2"/>
          <w:position w:val="-1"/>
          <w:sz w:val="24"/>
          <w:u w:val="none"/>
          <w:vertAlign w:val="baseline"/>
          <w:lang w:val="en-US" w:eastAsia="zh-CN"/>
        </w:rPr>
        <w:t>20</w:t>
      </w:r>
      <w:r>
        <w:rPr>
          <w:rFonts w:ascii="宋体" w:hAnsi="宋体" w:eastAsia="宋体" w:cs="宋体"/>
          <w:b w:val="0"/>
          <w:i w:val="0"/>
          <w:caps w:val="0"/>
          <w:strike w:val="0"/>
          <w:dstrike w:val="0"/>
          <w:shadow w:val="0"/>
          <w:emboss w:val="0"/>
          <w:imprint w:val="0"/>
          <w:color w:val="000000"/>
          <w:kern w:val="2"/>
          <w:position w:val="-1"/>
          <w:sz w:val="24"/>
          <w:u w:val="none"/>
          <w:vertAlign w:val="baseline"/>
        </w:rPr>
        <w:t>%〗, ZA份额的年化销售服务费率为〖0.30%〗, ZB份额的年化销售服务费率为〖0.20%〗, ZC份额的年化销售服务费率为〖0.10%〗, ZD份额的年化销售服务费率为〖0.15%〗。计算方法如下：</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H1＝E1×〖0.30%〗÷365</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H1为〖A份额〗每日应计提的销售服务费</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E1为〖A份额〗前一日资产净值</w:t>
      </w:r>
      <w:r>
        <w:rPr>
          <w:rFonts w:ascii="宋体" w:hAnsi="宋体" w:eastAsia="宋体" w:cs="宋体"/>
          <w:b w:val="0"/>
          <w:i w:val="0"/>
          <w:caps w:val="0"/>
          <w:strike w:val="0"/>
          <w:dstrike w:val="0"/>
          <w:shadow w:val="0"/>
          <w:emboss w:val="0"/>
          <w:imprint w:val="0"/>
          <w:color w:val="000000"/>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000000"/>
          <w:kern w:val="2"/>
          <w:position w:val="-1"/>
          <w:sz w:val="24"/>
          <w:u w:val="none"/>
          <w:vertAlign w:val="baseline"/>
        </w:rPr>
        <w:t xml:space="preserve">    销售服务费原则上按日计提。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kern w:val="2"/>
          <w:sz w:val="24"/>
          <w:szCs w:val="24"/>
          <w:highlight w:val="none"/>
          <w:lang w:val="en-US" w:eastAsia="zh-CN" w:bidi="ar-SA"/>
        </w:rPr>
        <w:t>A份额的年化固定管理费率为〖0.20%〗, B份额的年化固定管理费率为〖0.20%〗, H份额的年化固定管理费率为〖0.20%〗, L份额的年化固定管理费率为〖0.20%〗, ZA份额的年化固定管理费率为〖0.20%〗, ZB份额的年化固定管理费率为〖0.20%〗, ZC份额的年化固定管理费率为〖0.20%〗, ZD份额的年化固定管理费率为〖0.20%〗, 以〖A份额〗</w:t>
      </w:r>
      <w:r>
        <w:rPr>
          <w:rFonts w:hint="eastAsia" w:ascii="宋体" w:hAnsi="宋体" w:eastAsia="宋体" w:cs="宋体"/>
          <w:bCs/>
          <w:color w:val="000000"/>
          <w:sz w:val="24"/>
          <w:szCs w:val="24"/>
          <w:highlight w:val="none"/>
        </w:rPr>
        <w:t>为例，计算方法如下：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0.20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kern w:val="2"/>
          <w:sz w:val="24"/>
          <w:szCs w:val="24"/>
          <w:lang w:val="en-US" w:eastAsia="zh-CN" w:bidi="ar"/>
        </w:rPr>
        <w:t>管理人有权根据实际运作情况减免固定管理费。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2"/>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3"/>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理财管理人根据理财计划投资情况计算浮动管理费，浮动管理费原则上按估值日计提，每个投资周期结束后收取。以〖A份额〗为例，计算方法如下：</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的折合年化收益率超过业绩比较基准下限但未达到业绩比较基准上限，则超过业绩比较基准下限的部分管理人收取〖50%〗作为浮动管理费，即：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（2）若本理财计划份额</w:t>
      </w:r>
      <w:r>
        <w:rPr>
          <w:rFonts w:hint="eastAsia" w:ascii="宋体" w:hAnsi="宋体" w:eastAsia="宋体" w:cs="宋体"/>
          <w:kern w:val="2"/>
          <w:sz w:val="24"/>
          <w:szCs w:val="24"/>
          <w:lang w:val="en-US" w:eastAsia="zh-CN" w:bidi="ar"/>
        </w:rPr>
        <w:t>投资周期</w:t>
      </w:r>
      <w:r>
        <w:rPr>
          <w:rFonts w:hint="eastAsia" w:ascii="宋体" w:hAnsi="宋体" w:eastAsia="宋体" w:cs="宋体"/>
          <w:color w:val="000000"/>
          <w:kern w:val="2"/>
          <w:sz w:val="24"/>
          <w:szCs w:val="24"/>
          <w:lang w:val="en-US" w:eastAsia="zh-CN" w:bidi="ar"/>
        </w:rPr>
        <w:t>的折合年化收益率超过业绩比较基准上限，则〖业绩比较基准下限(含)至上限(含)〗的部分管理人收取〖50%〗作为浮动管理费，超过〖业绩比较基准上限〗的部分管理人收取〖80%〗作为浮动管理费，即：</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H=E×NAV0×[(K-R)×〖80%〗+(R-S)×〖50%〗]×N÷365</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其中，K=(NAV1-NAV0+T)÷NAV0×365÷N</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H为产品〖A份额〗</w:t>
      </w:r>
      <w:r>
        <w:rPr>
          <w:rFonts w:hint="eastAsia" w:ascii="宋体" w:hAnsi="宋体" w:eastAsia="宋体" w:cs="宋体"/>
          <w:kern w:val="2"/>
          <w:sz w:val="24"/>
          <w:szCs w:val="24"/>
          <w:lang w:val="en-US" w:eastAsia="zh-CN" w:bidi="ar"/>
        </w:rPr>
        <w:t>当前确认日应收取浮动管理费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E为投资者持有份额</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K为〖A份额〗收取浮动管理费前投资者持有份额对应持有区间折合年化收益率</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NAV0为〖A份额〗上一个确认日前一日费后单位净值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NAV1为〖A份额〗当前确认日前一日未扣除浮动管理费前的单位净值</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N为〖A份额〗上一个确认日（含）至当前确认日（不含）的实际理财天数</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T为〖A份额〗当前投资周期内每单位份额的实际分红金额的合计（如有）</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R为产品〖A份额〗业绩比较基准上限</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eastAsia="宋体" w:cs="宋体"/>
          <w:color w:val="000000"/>
          <w:kern w:val="2"/>
          <w:sz w:val="24"/>
          <w:szCs w:val="24"/>
          <w:lang w:val="en-US" w:eastAsia="zh-CN" w:bidi="ar"/>
        </w:rPr>
        <w:t>S为产品〖A份额〗业绩比较基准下限</w:t>
      </w:r>
    </w:p>
    <w:p>
      <w:pPr>
        <w:numPr>
          <w:ilvl w:val="0"/>
          <w:numId w:val="34"/>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7"/>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7"/>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8"/>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1.0615，此时，(1.0615/1.0000-1)×365/362=6.20%&gt;5.00%，即在〖4.00%-5.00%〗部分的投资收益管理人收取50%作为浮动管理费，超过〖5.00%〗部分的投资收益管理人收取80%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100,000×1.0000×{[（1.0615/1.0000-1）×365/362-5.00%]×80%+(5.00%-4.00%)×50%}×362/365=1,448.77（元）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kern w:val="2"/>
          <w:sz w:val="24"/>
          <w:szCs w:val="24"/>
          <w:lang w:val="en-US" w:eastAsia="zh-CN" w:bidi="ar"/>
        </w:rPr>
        <w:t>投资者最终收益为：100,000.00×（1.0000-1.0000）+</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w:t>
      </w:r>
      <w:r>
        <w:rPr>
          <w:rFonts w:hint="eastAsia" w:ascii="宋体" w:hAnsi="宋体" w:eastAsia="宋体" w:cs="宋体"/>
          <w:color w:val="000000"/>
          <w:kern w:val="2"/>
          <w:sz w:val="24"/>
          <w:szCs w:val="24"/>
          <w:lang w:val="en-US" w:eastAsia="zh-CN" w:bidi="ar"/>
        </w:rPr>
        <w:t>4,701.23</w:t>
      </w:r>
      <w:r>
        <w:rPr>
          <w:rFonts w:hint="eastAsia" w:ascii="宋体" w:hAnsi="宋体" w:eastAsia="宋体" w:cs="宋体"/>
          <w:kern w:val="2"/>
          <w:sz w:val="24"/>
          <w:szCs w:val="24"/>
          <w:lang w:val="en-US" w:eastAsia="zh-CN" w:bidi="ar"/>
        </w:rPr>
        <w:t>（元），理财计划赎回时</w:t>
      </w:r>
      <w:r>
        <w:rPr>
          <w:rFonts w:hint="eastAsia" w:ascii="宋体" w:hAnsi="宋体" w:eastAsia="宋体" w:cs="宋体"/>
          <w:color w:val="000000"/>
          <w:kern w:val="2"/>
          <w:sz w:val="24"/>
          <w:szCs w:val="24"/>
          <w:lang w:val="en-US" w:eastAsia="zh-CN" w:bidi="ar"/>
        </w:rPr>
        <w:t>，投资者获得的实际收益相当于达到年化收益率水平为：4,701.23/100,000.00×365/362=4.74%。</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扣除托管费、固定管理费、销售服务费（如有）后，投资收益率超过业绩比较基准下限，但未达到业绩比较基准上限。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1.0415，此时，(1.0415/1.0000-1)×365/362=4.18%，即投资收益超过〖4.00%〗但未达到〖5.00%〗，则超过〖4.00%〗部分的投资收益管理人收取50%作为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100,000.00×1.0000×[(1.0415/1.0000-1)×365/362-4.00%]×50%×362/365=91.44（元）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扣除浮动管理费后，理财计划的单位净值大于1，故理财计划进行现金分红，分红金额为</w:t>
      </w:r>
      <w:r>
        <w:rPr>
          <w:rFonts w:hint="eastAsia" w:ascii="宋体" w:hAnsi="宋体" w:eastAsia="宋体" w:cs="宋体"/>
          <w:color w:val="000000"/>
          <w:kern w:val="2"/>
          <w:sz w:val="24"/>
          <w:szCs w:val="24"/>
          <w:lang w:val="en-US" w:eastAsia="zh-CN" w:bidi="ar"/>
        </w:rPr>
        <w:t>4058.56</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100,000.00×（1.0000-1.0000）+4058.56 =4058.56（元），理财计划赎回时，投资者获得的实际收益相当于达到年化收益率水平为：4058.56/100,000.00×365/362=4.09%。</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扣除托管费、固定管理费、销售服务费（如有）后，投资发生未达到〖业绩比较基准下限〗。</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1.0362，此时，(1.0362/1.0000-1)×365/362=3.65%&lt;4.00%，即投资收益未达到〖4.00%〗，则投资管理人不收取浮动管理费。</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理财计划的单位净值大于1，故理财计划进行现金分红，分红金额为</w:t>
      </w:r>
      <w:r>
        <w:rPr>
          <w:rFonts w:hint="eastAsia" w:ascii="宋体" w:hAnsi="宋体" w:eastAsia="宋体" w:cs="宋体"/>
          <w:color w:val="000000"/>
          <w:kern w:val="2"/>
          <w:sz w:val="24"/>
          <w:szCs w:val="24"/>
          <w:lang w:val="en-US" w:eastAsia="zh-CN" w:bidi="ar"/>
        </w:rPr>
        <w:t>3,650.00</w:t>
      </w:r>
      <w:r>
        <w:rPr>
          <w:rFonts w:hint="eastAsia" w:ascii="宋体" w:hAnsi="宋体" w:eastAsia="宋体" w:cs="宋体"/>
          <w:kern w:val="2"/>
          <w:sz w:val="24"/>
          <w:szCs w:val="24"/>
          <w:lang w:val="en-US" w:eastAsia="zh-CN" w:bidi="ar"/>
        </w:rPr>
        <w:t>元，分红后产品的单位净值为1.0000。</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100,000.00×（1.0000-1.0000）+3,650.00 =3,650.00（元），理财计划赎回时，投资者获得的实际收益相当于达到年化收益率水平为：3,650.00/100,000.00×365/362=3.68%。</w:t>
      </w:r>
    </w:p>
    <w:p>
      <w:pPr>
        <w:keepNext w:val="0"/>
        <w:keepLines w:val="0"/>
        <w:widowControl w:val="0"/>
        <w:numPr>
          <w:ilvl w:val="0"/>
          <w:numId w:val="39"/>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示例四</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为例，假设购买时理财计划单位净值为1.0000元，折算份额为100,000.00份，投资理财计划362天后，赎回份额100,000.00份，业绩比较基准为4.0%-5.0%，投资收益率在业绩比较基准下限（含）至上限（含）的部分,管理人提取50%作为浮动管理费,在超过业绩比较基准上限的部分,管理人提取80%作为浮动管理费。假设理财产品赎回时扣除托管费、固定管理费、销售服务费（如有）后，如理财计划未扣除浮动管理费前的单位净值为0.9975，则投资管理人不收取浮动管理费，理财计划不分红，投资者最终收益为：100,000.00×（0.9975-1.0000）=-250.00（元）。</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41"/>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2"/>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2"/>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4"/>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5"/>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7"/>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8"/>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bCs/>
          <w:color w:val="000000"/>
          <w:sz w:val="24"/>
          <w:highlight w:val="none"/>
        </w:rPr>
        <w:t>2〗</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40"/>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5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3"/>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4"/>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5"/>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5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3"/>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DFFE6DAD"/>
    <w:multiLevelType w:val="multilevel"/>
    <w:tmpl w:val="DFFE6DAD"/>
    <w:lvl w:ilvl="0" w:tentative="0">
      <w:start w:val="1"/>
      <w:numFmt w:val="decimal"/>
      <w:suff w:val="nothing"/>
      <w:lvlText w:val="%1．"/>
      <w:lvlJc w:val="left"/>
      <w:pPr>
        <w:ind w:left="0" w:firstLine="40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8DD71ED"/>
    <w:multiLevelType w:val="multilevel"/>
    <w:tmpl w:val="F8DD71ED"/>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0">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1">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2">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3">
    <w:nsid w:val="084A6179"/>
    <w:multiLevelType w:val="singleLevel"/>
    <w:tmpl w:val="084A6179"/>
    <w:lvl w:ilvl="0" w:tentative="0">
      <w:start w:val="1"/>
      <w:numFmt w:val="decimal"/>
      <w:suff w:val="nothing"/>
      <w:lvlText w:val="（%1）"/>
      <w:lvlJc w:val="left"/>
      <w:rPr>
        <w:rFonts w:hint="default"/>
        <w:highlight w:val="none"/>
      </w:rPr>
    </w:lvl>
  </w:abstractNum>
  <w:abstractNum w:abstractNumId="34">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5">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6">
    <w:nsid w:val="167B0BB4"/>
    <w:multiLevelType w:val="singleLevel"/>
    <w:tmpl w:val="167B0BB4"/>
    <w:lvl w:ilvl="0" w:tentative="0">
      <w:start w:val="1"/>
      <w:numFmt w:val="decimal"/>
      <w:suff w:val="nothing"/>
      <w:lvlText w:val="（%1）"/>
      <w:lvlJc w:val="left"/>
    </w:lvl>
  </w:abstractNum>
  <w:abstractNum w:abstractNumId="37">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8">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9">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40">
    <w:nsid w:val="2CB63BE6"/>
    <w:multiLevelType w:val="singleLevel"/>
    <w:tmpl w:val="2CB63BE6"/>
    <w:lvl w:ilvl="0" w:tentative="0">
      <w:start w:val="1"/>
      <w:numFmt w:val="decimal"/>
      <w:suff w:val="nothing"/>
      <w:lvlText w:val="（%1）"/>
      <w:lvlJc w:val="left"/>
      <w:rPr>
        <w:rFonts w:hint="default"/>
        <w:b w:val="0"/>
        <w:bCs w:val="0"/>
      </w:rPr>
    </w:lvl>
  </w:abstractNum>
  <w:abstractNum w:abstractNumId="41">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2">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3">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4">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5">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6">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7">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8">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9">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50">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1">
    <w:nsid w:val="5BA91325"/>
    <w:multiLevelType w:val="singleLevel"/>
    <w:tmpl w:val="5BA91325"/>
    <w:lvl w:ilvl="0" w:tentative="0">
      <w:start w:val="1"/>
      <w:numFmt w:val="decimal"/>
      <w:suff w:val="nothing"/>
      <w:lvlText w:val="（%1）"/>
      <w:lvlJc w:val="left"/>
    </w:lvl>
  </w:abstractNum>
  <w:abstractNum w:abstractNumId="52">
    <w:nsid w:val="61F30F62"/>
    <w:multiLevelType w:val="singleLevel"/>
    <w:tmpl w:val="61F30F62"/>
    <w:lvl w:ilvl="0" w:tentative="0">
      <w:start w:val="1"/>
      <w:numFmt w:val="decimal"/>
      <w:suff w:val="nothing"/>
      <w:lvlText w:val="（%1）"/>
      <w:lvlJc w:val="left"/>
      <w:rPr>
        <w:rFonts w:hint="default"/>
        <w:b w:val="0"/>
        <w:bCs w:val="0"/>
      </w:rPr>
    </w:lvl>
  </w:abstractNum>
  <w:abstractNum w:abstractNumId="53">
    <w:nsid w:val="69C07A9C"/>
    <w:multiLevelType w:val="singleLevel"/>
    <w:tmpl w:val="69C07A9C"/>
    <w:lvl w:ilvl="0" w:tentative="0">
      <w:start w:val="1"/>
      <w:numFmt w:val="lowerLetter"/>
      <w:suff w:val="space"/>
      <w:lvlText w:val="%1."/>
      <w:lvlJc w:val="left"/>
    </w:lvl>
  </w:abstractNum>
  <w:abstractNum w:abstractNumId="54">
    <w:nsid w:val="6BA7AFBC"/>
    <w:multiLevelType w:val="singleLevel"/>
    <w:tmpl w:val="6BA7AFBC"/>
    <w:lvl w:ilvl="0" w:tentative="0">
      <w:start w:val="1"/>
      <w:numFmt w:val="chineseCounting"/>
      <w:suff w:val="nothing"/>
      <w:lvlText w:val="（%1）"/>
      <w:lvlJc w:val="left"/>
      <w:pPr>
        <w:ind w:left="0" w:firstLine="420"/>
      </w:pPr>
      <w:rPr>
        <w:rFonts w:hint="eastAsia"/>
      </w:rPr>
    </w:lvl>
  </w:abstractNum>
  <w:abstractNum w:abstractNumId="55">
    <w:nsid w:val="6FFB1D5F"/>
    <w:multiLevelType w:val="multilevel"/>
    <w:tmpl w:val="6FFB1D5F"/>
    <w:lvl w:ilvl="0" w:tentative="0">
      <w:start w:val="2"/>
      <w:numFmt w:val="decimal"/>
      <w:suff w:val="nothing"/>
      <w:lvlText w:val="%1．"/>
      <w:lvlJc w:val="left"/>
      <w:pPr>
        <w:ind w:left="0" w:firstLine="403"/>
      </w:pPr>
      <w:rPr>
        <w:rFonts w:hint="eastAsia" w:ascii="宋体" w:hAnsi="宋体" w:eastAsia="宋体" w:cs="宋体"/>
        <w:b w:val="0"/>
        <w:bCs w:val="0"/>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49"/>
  </w:num>
  <w:num w:numId="2">
    <w:abstractNumId w:val="45"/>
  </w:num>
  <w:num w:numId="3">
    <w:abstractNumId w:val="30"/>
  </w:num>
  <w:num w:numId="4">
    <w:abstractNumId w:val="26"/>
  </w:num>
  <w:num w:numId="5">
    <w:abstractNumId w:val="34"/>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1"/>
  </w:num>
  <w:num w:numId="14">
    <w:abstractNumId w:val="21"/>
  </w:num>
  <w:num w:numId="15">
    <w:abstractNumId w:val="55"/>
  </w:num>
  <w:num w:numId="16">
    <w:abstractNumId w:val="44"/>
  </w:num>
  <w:num w:numId="17">
    <w:abstractNumId w:val="28"/>
  </w:num>
  <w:num w:numId="18">
    <w:abstractNumId w:val="46"/>
  </w:num>
  <w:num w:numId="19">
    <w:abstractNumId w:val="51"/>
  </w:num>
  <w:num w:numId="20">
    <w:abstractNumId w:val="53"/>
  </w:num>
  <w:num w:numId="21">
    <w:abstractNumId w:val="39"/>
  </w:num>
  <w:num w:numId="22">
    <w:abstractNumId w:val="15"/>
  </w:num>
  <w:num w:numId="23">
    <w:abstractNumId w:val="38"/>
  </w:num>
  <w:num w:numId="24">
    <w:abstractNumId w:val="18"/>
  </w:num>
  <w:num w:numId="25">
    <w:abstractNumId w:val="5"/>
  </w:num>
  <w:num w:numId="26">
    <w:abstractNumId w:val="48"/>
  </w:num>
  <w:num w:numId="27">
    <w:abstractNumId w:val="4"/>
  </w:num>
  <w:num w:numId="28">
    <w:abstractNumId w:val="33"/>
  </w:num>
  <w:num w:numId="29">
    <w:abstractNumId w:val="37"/>
  </w:num>
  <w:num w:numId="30">
    <w:abstractNumId w:val="54"/>
  </w:num>
  <w:num w:numId="31">
    <w:abstractNumId w:val="32"/>
  </w:num>
  <w:num w:numId="32">
    <w:abstractNumId w:val="17"/>
  </w:num>
  <w:num w:numId="33">
    <w:abstractNumId w:val="41"/>
  </w:num>
  <w:num w:numId="34">
    <w:abstractNumId w:val="0"/>
  </w:num>
  <w:num w:numId="35">
    <w:abstractNumId w:val="20"/>
  </w:num>
  <w:num w:numId="36">
    <w:abstractNumId w:val="43"/>
  </w:num>
  <w:num w:numId="37">
    <w:abstractNumId w:val="2"/>
  </w:num>
  <w:num w:numId="38">
    <w:abstractNumId w:val="22"/>
  </w:num>
  <w:num w:numId="39">
    <w:abstractNumId w:val="29"/>
  </w:num>
  <w:num w:numId="40">
    <w:abstractNumId w:val="47"/>
  </w:num>
  <w:num w:numId="41">
    <w:abstractNumId w:val="35"/>
  </w:num>
  <w:num w:numId="42">
    <w:abstractNumId w:val="14"/>
  </w:num>
  <w:num w:numId="43">
    <w:abstractNumId w:val="27"/>
  </w:num>
  <w:num w:numId="44">
    <w:abstractNumId w:val="23"/>
  </w:num>
  <w:num w:numId="45">
    <w:abstractNumId w:val="24"/>
  </w:num>
  <w:num w:numId="46">
    <w:abstractNumId w:val="52"/>
  </w:num>
  <w:num w:numId="47">
    <w:abstractNumId w:val="40"/>
  </w:num>
  <w:num w:numId="48">
    <w:abstractNumId w:val="1"/>
  </w:num>
  <w:num w:numId="49">
    <w:abstractNumId w:val="50"/>
  </w:num>
  <w:num w:numId="50">
    <w:abstractNumId w:val="11"/>
  </w:num>
  <w:num w:numId="51">
    <w:abstractNumId w:val="9"/>
  </w:num>
  <w:num w:numId="52">
    <w:abstractNumId w:val="12"/>
  </w:num>
  <w:num w:numId="53">
    <w:abstractNumId w:val="36"/>
  </w:num>
  <w:num w:numId="54">
    <w:abstractNumId w:val="19"/>
  </w:num>
  <w:num w:numId="55">
    <w:abstractNumId w:val="3"/>
  </w:num>
  <w:num w:numId="5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310095E"/>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724458"/>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22775A"/>
    <w:rsid w:val="53827B5D"/>
    <w:rsid w:val="53E86B53"/>
    <w:rsid w:val="54D66C67"/>
    <w:rsid w:val="568633C7"/>
    <w:rsid w:val="57061882"/>
    <w:rsid w:val="57264720"/>
    <w:rsid w:val="57280BF2"/>
    <w:rsid w:val="582C3B01"/>
    <w:rsid w:val="582D059F"/>
    <w:rsid w:val="582D396D"/>
    <w:rsid w:val="59083CAE"/>
    <w:rsid w:val="592570E8"/>
    <w:rsid w:val="59435FE6"/>
    <w:rsid w:val="59480030"/>
    <w:rsid w:val="59A3360E"/>
    <w:rsid w:val="5ADE2855"/>
    <w:rsid w:val="5B056CAE"/>
    <w:rsid w:val="5BAB14C3"/>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7DC457B"/>
    <w:rsid w:val="78244617"/>
    <w:rsid w:val="79DD6E5E"/>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26D94"/>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39080</Words>
  <Characters>41779</Characters>
  <Lines>1</Lines>
  <Paragraphs>1</Paragraphs>
  <TotalTime>3</TotalTime>
  <ScaleCrop>false</ScaleCrop>
  <LinksUpToDate>false</LinksUpToDate>
  <CharactersWithSpaces>42164</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2026-03-06T07:53:08Z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DB084DD8DAD0A9166C7CA669BF02B1CA_43</vt:lpwstr>
  </property>
</Properties>
</file>