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幸福99丰裕固收386天26021期理财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Z7002226000094</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幸福99丰裕固收386天26021期理财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幸福99丰裕固收386天26021期理财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幸福99丰裕固收386天26021期理财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幸福99丰裕固收386天26021期理财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幸福99丰裕固收386天26021期理财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w:t>
      </w:r>
      <w:r>
        <w:rPr>
          <w:rFonts w:hint="eastAsia" w:ascii="宋体" w:hAnsi="宋体" w:cs="宋体"/>
          <w:bCs/>
          <w:color w:val="auto"/>
          <w:kern w:val="2"/>
          <w:highlight w:val="none"/>
        </w:rPr>
        <w:t>书》《投资者权益须知》《理财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幸福99丰裕固收386天26021期理财</w:t>
      </w:r>
      <w:r>
        <w:rPr>
          <w:rFonts w:hint="eastAsia" w:ascii="宋体" w:hAnsi="宋体" w:cs="宋体"/>
          <w:bCs/>
          <w:highlight w:val="none"/>
        </w:rPr>
        <w:t>。</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7"/>
        <w:adjustRightInd/>
        <w:spacing w:line="360" w:lineRule="auto"/>
        <w:rPr>
          <w:rFonts w:hint="eastAsia" w:ascii="宋体" w:hAnsi="宋体" w:cs="宋体"/>
          <w:bCs/>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Cs/>
          <w:color w:val="auto"/>
          <w:kern w:val="2"/>
          <w:highlight w:val="none"/>
          <w:lang w:eastAsia="zh-CN"/>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幸福99丰裕固收386天26021期理财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eastAsia="宋体" w:cs="宋体"/>
                <w:kern w:val="2"/>
                <w:sz w:val="21"/>
                <w:szCs w:val="21"/>
                <w:highlight w:val="none"/>
                <w:lang w:val="en-US" w:eastAsia="zh-CN" w:bidi="ar-SA"/>
              </w:rPr>
              <w:t>丰裕固收26021期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FYG26021</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Z7002226000094</w:t>
            </w:r>
            <w:r>
              <w:rPr>
                <w:rFonts w:hint="eastAsia" w:ascii="宋体" w:hAnsi="宋体" w:cs="宋体"/>
                <w:color w:val="000000"/>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Cs w:val="21"/>
                <w:highlight w:val="none"/>
              </w:rPr>
              <w:t>。</w:t>
            </w:r>
            <w:r>
              <w:rPr>
                <w:rFonts w:hint="eastAsia" w:ascii="宋体" w:hAnsi="宋体" w:cs="宋体"/>
                <w:bCs/>
                <w:color w:val="auto"/>
                <w:kern w:val="2"/>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A份额（销售代码〖FYG26021A〗）：普通个人投资者和机构客户。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B份额（销售代码〖FYG26021B〗）：普通个人投资者和机构客户。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C份额（销售代码〖FYG26021C〗）：普通个人投资者和机构客户。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D份额（销售代码〖FYG26021D〗）：普通个人投资者和机构客户。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E份额（公司专属）（销售代码〖FYG26021E〗）：普通个人投资者和机构客户。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G份额（销售代码〖FYG26021G〗）：普通个人投资者和机构客户。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H份额（北行专属）（销售代码〖FYG26021H〗）：普通个人投资者和机构客户。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I份额（爽盈优选）（销售代码〖FYG26021I〗）：普通个人投资者和机构客户。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J份额（销售代码〖FYG26021J〗）：部分代销机构客户、浙商银行认定的符合“玉琮”定义的个人客户。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K份额（鲲鹏优选）（销售代码〖FYG26021K〗）：普通个人投资者和机构客户。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M份额（天府·优选）（销售代码〖FYG26021M〗）：普通个人投资者和机构客户。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N份额惠享款（长长财富·专属）（销售代码〖FYG26021N〗）：普通个人投资者和机构客户。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O份额（销售代码〖FYG26021O〗）：普通个人投资者和机构客户。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P份额（芙蓉锦程·优选）（销售代码〖FYG26021P〗）：普通个人投资者和机构客户。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Q份额（兰州银行开门红专属）（销售代码〖FYG26021Q〗）：普通个人投资者和机构客户。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R份额惠享款吉行十二号（销售代码〖FYG26021R〗）：普通个人投资者和机构客户。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T份额惠享款（齐鲁-逢六有约）（销售代码〖FYG26021T〗）：普通个人投资者和机构客户。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V份额（金芙蓉专属）（销售代码〖FYG26021V〗）：普通个人投资者和机构客户。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W份额惠享款（销售代码〖FYG26021W〗）：普通个人投资者和机构客户。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X份额（销售代码〖FYG26021X〗）：普通个人投资者。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Y份额惠享款（销售代码〖FYG26021Y〗）：普通个人投资者和机构客户。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Z份额惠享款（销售代码〖FYG26021Z〗）：普通个人投资者和机构客户。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ZZ份额（销售代码〖FYG26021ZZ〗）：普通个人投资者和机构客户。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Cs w:val="21"/>
                <w:highlight w:val="none"/>
              </w:rPr>
              <w:t>〗</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cs="宋体"/>
                <w:color w:val="000000"/>
                <w:szCs w:val="21"/>
                <w:highlight w:val="none"/>
              </w:rPr>
              <w:t>全国</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31</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386</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〖O份额〗起点〖1〗元整，超过认购起点部分，应为〖1〗元的整数倍。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〖T份额〗起点〖1〗元整，超过认购起点部分，应为〖1〗元的整数倍。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〖V份额〗起点〖20〗万元整，超过认购起点部分，应为〖1〗元的整数倍。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〖ZZ份额〗起点〖1〗元整，超过认购起点部分，应为〖1〗元的整数倍。</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w:t>
            </w:r>
            <w:r>
              <w:rPr>
                <w:rFonts w:hint="eastAsia" w:ascii="宋体" w:hAnsi="宋体" w:cs="宋体"/>
                <w:szCs w:val="21"/>
                <w:highlight w:val="none"/>
              </w:rPr>
              <w:t>〖</w:t>
            </w:r>
            <w:r>
              <w:rPr>
                <w:rFonts w:hint="eastAsia" w:ascii="宋体" w:hAnsi="宋体" w:cs="宋体"/>
                <w:color w:val="000000"/>
                <w:szCs w:val="21"/>
                <w:highlight w:val="none"/>
              </w:rPr>
              <w:t>2</w:t>
            </w:r>
            <w:r>
              <w:rPr>
                <w:rFonts w:hint="eastAsia" w:ascii="宋体" w:hAnsi="宋体" w:cs="宋体"/>
                <w:szCs w:val="21"/>
                <w:highlight w:val="none"/>
              </w:rPr>
              <w:t>〗</w:t>
            </w:r>
            <w:r>
              <w:rPr>
                <w:rFonts w:hint="eastAsia" w:ascii="宋体" w:hAnsi="宋体" w:cs="宋体"/>
                <w:color w:val="000000"/>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理财计划总份额，单位净值</w:t>
            </w:r>
            <w:r>
              <w:rPr>
                <w:rFonts w:hint="eastAsia" w:ascii="宋体" w:hAnsi="宋体" w:cs="宋体"/>
                <w:szCs w:val="21"/>
                <w:highlight w:val="none"/>
              </w:rPr>
              <w:t>〖</w:t>
            </w:r>
            <w:r>
              <w:rPr>
                <w:rFonts w:hint="eastAsia" w:ascii="宋体" w:hAnsi="宋体" w:cs="宋体"/>
                <w:color w:val="000000"/>
                <w:szCs w:val="21"/>
                <w:highlight w:val="none"/>
              </w:rPr>
              <w:t>保留小数点后四位</w:t>
            </w:r>
            <w:r>
              <w:rPr>
                <w:rFonts w:hint="eastAsia" w:ascii="宋体" w:hAnsi="宋体" w:cs="宋体"/>
                <w:szCs w:val="21"/>
                <w:highlight w:val="none"/>
              </w:rPr>
              <w:t>〗</w:t>
            </w:r>
            <w:r>
              <w:rPr>
                <w:rFonts w:hint="eastAsia" w:ascii="宋体" w:hAnsi="宋体" w:cs="宋体"/>
                <w:color w:val="000000"/>
                <w:szCs w:val="21"/>
                <w:highlight w:val="none"/>
                <w:lang w:val="en-US" w:eastAsia="zh-CN"/>
              </w:rPr>
              <w:t>,</w:t>
            </w:r>
            <w:r>
              <w:rPr>
                <w:rFonts w:hint="eastAsia" w:ascii="宋体" w:hAnsi="宋体" w:cs="宋体"/>
                <w:szCs w:val="21"/>
                <w:highlight w:val="none"/>
              </w:rPr>
              <w:t>〖</w:t>
            </w:r>
            <w:r>
              <w:rPr>
                <w:rFonts w:hint="eastAsia" w:ascii="宋体" w:hAnsi="宋体" w:cs="宋体"/>
                <w:kern w:val="2"/>
                <w:sz w:val="21"/>
                <w:szCs w:val="21"/>
                <w:highlight w:val="none"/>
                <w:lang w:val="en-US" w:eastAsia="zh" w:bidi="ar-SA"/>
              </w:rPr>
              <w:t>四舍五入</w:t>
            </w:r>
            <w:r>
              <w:rPr>
                <w:rFonts w:hint="eastAsia" w:ascii="宋体" w:hAnsi="宋体" w:cs="宋体"/>
                <w:szCs w:val="21"/>
                <w:highlight w:val="none"/>
              </w:rPr>
              <w:t>〗</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eastAsia="宋体" w:cs="宋体"/>
                <w:color w:val="000000"/>
                <w:kern w:val="2"/>
                <w:sz w:val="21"/>
                <w:szCs w:val="21"/>
                <w:lang w:val="en-US" w:eastAsia="zh-CN" w:bidi="ar"/>
              </w:rPr>
              <w:t>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szCs w:val="21"/>
                <w:highlight w:val="none"/>
              </w:rPr>
              <w:t>〖</w:t>
            </w:r>
            <w:r>
              <w:rPr>
                <w:rFonts w:hint="eastAsia" w:ascii="宋体" w:hAnsi="宋体" w:cs="宋体"/>
                <w:color w:val="000000"/>
                <w:szCs w:val="21"/>
                <w:highlight w:val="none"/>
                <w:lang w:eastAsia="zh"/>
              </w:rPr>
              <w:t>不</w:t>
            </w:r>
            <w:r>
              <w:rPr>
                <w:rFonts w:hint="eastAsia" w:ascii="宋体" w:hAnsi="宋体" w:cs="宋体"/>
                <w:color w:val="000000"/>
                <w:szCs w:val="21"/>
                <w:highlight w:val="none"/>
              </w:rPr>
              <w:t>定期</w:t>
            </w:r>
            <w:r>
              <w:rPr>
                <w:rFonts w:hint="eastAsia" w:ascii="宋体" w:hAnsi="宋体" w:cs="宋体"/>
                <w:szCs w:val="21"/>
                <w:highlight w:val="none"/>
              </w:rPr>
              <w:t>〗</w:t>
            </w:r>
            <w:r>
              <w:rPr>
                <w:rFonts w:hint="eastAsia" w:ascii="宋体" w:hAnsi="宋体" w:cs="宋体"/>
                <w:color w:val="000000"/>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本理财计划〖A份额〗业绩比较基准为〖2.40%-2.60%〗（年化）。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本理财计划〖B份额〗业绩比较基准为〖2.50%-2.70%〗（年化）。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本理财计划〖C份额〗业绩比较基准为〖2.60%-2.80%〗（年化）。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本理财计划〖D份额〗业绩比较基准为〖2.55%-2.75%〗（年化）。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本理财计划〖E份额〗业绩比较基准为〖2.25%-2.45%〗（年化）。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本理财计划〖G份额〗业绩比较基准为〖2.75%-2.95%〗（年化）。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本理财计划〖H份额〗业绩比较基准为〖2.50%-2.70%〗（年化）。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本理财计划〖I份额〗业绩比较基准为〖2.40%-2.60%〗（年化）。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本理财计划〖J份额〗业绩比较基准为〖2.65%-2.85%〗（年化）。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本理财计划〖K份额〗业绩比较基准为〖2.40%-2.60%〗（年化）。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本理财计划〖M份额〗业绩比较基准为〖2.55%-2.75%〗（年化）。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本理财计划〖N份额〗业绩比较基准为〖2.50%-2.70%〗（年化）。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本理财计划〖O份额〗业绩比较基准为〖2.50%-2.70%〗（年化）。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本理财计划〖P份额〗业绩比较基准为〖2.55%-2.75%〗（年化）。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本理财计划〖Q份额〗业绩比较基准为〖2.55%-2.75%〗（年化）。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本理财计划〖R份额〗业绩比较基准为〖2.55%-2.75%〗（年化）。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本理财计划〖T份额〗业绩比较基准为〖2.56%-2.76%〗（年化）。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本理财计划〖V份额〗业绩比较基准为〖2.55%-2.75%〗（年化）。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本理财计划〖W份额〗业绩比较基准为〖2.40%-2.60%〗（年化）。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本理财计划〖X份额〗业绩比较基准为〖2.65%-2.85%〗（年化）。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本理财计划〖Y份额〗业绩比较基准为〖2.50%-2.70%〗（年化）。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本理财计划〖ZZ份额〗业绩比较基准为〖2.30%-2.50%〗（年化）。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w:t>
            </w:r>
            <w:r>
              <w:rPr>
                <w:rFonts w:hint="eastAsia" w:ascii="宋体" w:hAnsi="宋体" w:eastAsia="宋体" w:cs="宋体"/>
                <w:b/>
                <w:bCs/>
                <w:kern w:val="2"/>
                <w:sz w:val="21"/>
                <w:szCs w:val="21"/>
                <w:lang w:val="en-US" w:eastAsia="zh-CN" w:bidi="ar"/>
              </w:rPr>
              <w:t>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szCs w:val="21"/>
                <w:highlight w:val="none"/>
              </w:rPr>
            </w:pPr>
            <w:r>
              <w:rPr>
                <w:rFonts w:hint="eastAsia" w:ascii="宋体" w:hAnsi="宋体" w:cs="宋体"/>
                <w:szCs w:val="21"/>
                <w:highlight w:val="none"/>
              </w:rPr>
              <w:t>管理人有权根据市场情况及</w:t>
            </w:r>
            <w:r>
              <w:rPr>
                <w:rFonts w:hint="eastAsia" w:ascii="宋体" w:hAnsi="宋体" w:cs="宋体"/>
                <w:szCs w:val="21"/>
                <w:highlight w:val="none"/>
                <w:lang w:eastAsia="zh-CN"/>
              </w:rPr>
              <w:t>理财计划</w:t>
            </w:r>
            <w:r>
              <w:rPr>
                <w:rFonts w:hint="eastAsia" w:ascii="宋体" w:hAnsi="宋体" w:cs="宋体"/>
                <w:szCs w:val="21"/>
                <w:highlight w:val="none"/>
              </w:rPr>
              <w:t>运作情况调整业绩基准，并至少于新业绩基准启用前</w:t>
            </w:r>
            <w:r>
              <w:rPr>
                <w:rFonts w:hint="eastAsia" w:ascii="宋体" w:hAnsi="宋体" w:cs="宋体"/>
                <w:kern w:val="0"/>
                <w:highlight w:val="none"/>
              </w:rPr>
              <w:t>〖</w:t>
            </w:r>
            <w:r>
              <w:rPr>
                <w:rFonts w:hint="eastAsia" w:ascii="宋体" w:hAnsi="宋体" w:cs="宋体"/>
                <w:color w:val="000000"/>
                <w:kern w:val="0"/>
                <w:highlight w:val="none"/>
                <w:lang w:val="en-US" w:eastAsia="zh-CN"/>
              </w:rPr>
              <w:t>2</w:t>
            </w:r>
            <w:r>
              <w:rPr>
                <w:rFonts w:hint="eastAsia" w:ascii="宋体" w:hAnsi="宋体" w:cs="宋体"/>
                <w:kern w:val="0"/>
                <w:highlight w:val="none"/>
              </w:rPr>
              <w:t>〗</w:t>
            </w:r>
            <w:r>
              <w:rPr>
                <w:rFonts w:hint="eastAsia" w:ascii="宋体" w:hAnsi="宋体" w:cs="宋体"/>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szCs w:val="21"/>
                <w:highlight w:val="none"/>
              </w:rPr>
              <w:t>本理财计划为净值型理财产品，其业绩表现将随市场波动具有不确定性。本公司提醒投资者关注，业绩比较基准</w:t>
            </w:r>
            <w:r>
              <w:rPr>
                <w:rFonts w:hint="eastAsia" w:ascii="宋体" w:hAnsi="宋体" w:cs="宋体"/>
                <w:b/>
                <w:szCs w:val="21"/>
                <w:highlight w:val="none"/>
                <w:lang w:eastAsia="zh-CN"/>
              </w:rPr>
              <w:t>不是预期收益率，</w:t>
            </w:r>
            <w:r>
              <w:rPr>
                <w:rFonts w:hint="eastAsia" w:ascii="宋体" w:hAnsi="宋体" w:cs="宋体"/>
                <w:b/>
                <w:szCs w:val="21"/>
                <w:highlight w:val="none"/>
              </w:rPr>
              <w:t>并不代表</w:t>
            </w:r>
            <w:r>
              <w:rPr>
                <w:rFonts w:hint="eastAsia" w:ascii="宋体" w:hAnsi="宋体" w:cs="宋体"/>
                <w:b/>
                <w:szCs w:val="21"/>
                <w:highlight w:val="none"/>
                <w:lang w:eastAsia="zh-CN"/>
              </w:rPr>
              <w:t>理财计划的未来表现和</w:t>
            </w:r>
            <w:r>
              <w:rPr>
                <w:rFonts w:hint="eastAsia" w:ascii="宋体" w:hAnsi="宋体" w:cs="宋体"/>
                <w:b/>
                <w:szCs w:val="21"/>
                <w:highlight w:val="none"/>
              </w:rPr>
              <w:t>实际收益率</w:t>
            </w:r>
            <w:r>
              <w:rPr>
                <w:rFonts w:hint="eastAsia" w:ascii="宋体" w:hAnsi="宋体" w:cs="宋体"/>
                <w:b/>
                <w:szCs w:val="21"/>
                <w:highlight w:val="none"/>
                <w:lang w:eastAsia="zh-CN"/>
              </w:rPr>
              <w:t>，不构成对理财计划收益的承诺</w:t>
            </w:r>
            <w:r>
              <w:rPr>
                <w:rFonts w:hint="eastAsia" w:ascii="宋体" w:hAnsi="宋体" w:cs="宋体"/>
                <w:b/>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〖E份额〗收取年化〖0.40%〗的销售服务费, 〖G份额〗收取年化〖0.01%〗的销售服务费, 〖H份额〗收取年化〖0.20%〗的销售服务费, 〖I份额〗收取年化〖0.30%〗的销售服务费, 〖J份额〗收取年化〖0.05%〗的销售服务费, 〖K份额〗收取年化〖0.30%〗的销售服务费, 〖M份额〗收取年化〖0.15%〗的销售服务费, 〖N份额〗收取年化〖0.20%〗的销售服务费, 〖O份额〗收取年化〖0.20%〗的销售服务费, 〖P份额〗收取年化〖0.15%〗的销售服务费, 〖Q份额〗收取年化〖0.15%〗的销售服务费, 〖R份额〗收取年化〖0.15%〗的销售服务费, 〖T份额〗收取年化〖0.15%〗的销售服务费, 〖V份额〗收取年化〖0.15%〗的销售服务费, 〖W份额〗收取年化〖0.30%〗的销售服务费, 〖X份额〗收取年化〖0.05%〗的销售服务费, 〖Y份额〗收取年化〖0.20%〗的销售服务费, 〖Z份额〗收取年化〖0.10%〗的销售服务费, 〖ZZ份额〗收取年化〖0.40%〗的销售服务费。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Cs w:val="21"/>
                <w:highlight w:val="none"/>
                <w:lang w:eastAsia="zh"/>
              </w:rPr>
              <w:t>%</w:t>
            </w:r>
            <w:r>
              <w:rPr>
                <w:rFonts w:hint="eastAsia" w:ascii="宋体" w:hAnsi="宋体" w:cs="宋体"/>
                <w:szCs w:val="21"/>
                <w:highlight w:val="none"/>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〖A份额〗收取年化〖0.10%〗的固定管理费, 〖B份额〗收取年化〖0.10%〗的固定管理费, 〖C份额〗收取年化〖0.10%〗的固定管理费, 〖D份额〗收取年化〖0.10%〗的固定管理费, 〖E份额〗收取年化〖0.15%〗的固定管理费, 〖G份额〗收取年化〖0.04%〗的固定管理费, 〖H份额〗收取年化〖0.10%〗的固定管理费, 〖I份额〗收取年化〖0.10%〗的固定管理费, 〖J份额〗收取年化〖0.10%〗的固定管理费, 〖K份额〗收取年化〖0.10%〗的固定管理费, 〖M份额〗收取年化〖0.10%〗的固定管理费, 〖N份额〗收取年化〖0.10%〗的固定管理费, 〖O份额〗收取年化〖0.10%〗的固定管理费, 〖P份额〗收取年化〖0.10%〗的固定管理费, 〖Q份额〗收取年化〖0.10%〗的固定管理费, 〖R份额〗收取年化〖0.10%〗的固定管理费, 〖T份额〗收取年化〖0.09%〗的固定管理费, 〖V份额〗收取年化〖0.10%〗的固定管理费, 〖W份额〗收取年化〖0.10%〗的固定管理费, 〖X份额〗收取年化〖0.10%〗的固定管理费, 〖Y份额〗收取年化〖0.10%〗的固定管理费, 〖Z份额〗收取年化〖0.10%〗的固定管理费, 〖ZZ份额〗收取年化〖0.10%〗的固定管理费。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O份额）到期日（提前终止日）的折合年化收益率在〖业绩比较基准下限（含）至业绩比较基准上限（含）〗的部分，管理人提取〖50%〗作为浮动管理费，在折合年化收益率超过〖业绩比较基准上限〗的部分，管理人提取〖80%〗作为浮动管理费；〖O份额〗到期日（提前终止日）的折合年化收益率在〖业绩比较基准下限（含）至业绩比较基准中枢（含）〗的部分，管理人提取〖50%〗作为浮动管理费，在折合年化收益率超过〖业绩比较基准中枢〗的部分，管理人提取〖60%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本理财计划主要投资于符合监管要求的各类资产：</w:t>
      </w:r>
    </w:p>
    <w:p>
      <w:pPr>
        <w:keepNext w:val="0"/>
        <w:keepLines w:val="0"/>
        <w:widowControl w:val="0"/>
        <w:suppressLineNumbers w:val="0"/>
        <w:spacing w:before="0" w:beforeAutospacing="0" w:after="0" w:afterAutospacing="0" w:line="360" w:lineRule="auto"/>
        <w:ind w:left="-1" w:right="-1" w:firstLine="480"/>
        <w:jc w:val="left"/>
        <w:rPr>
          <w:rFonts w:hint="eastAsia" w:ascii="宋体" w:hAnsi="宋体" w:eastAsia="宋体" w:cs="宋体"/>
          <w:kern w:val="2"/>
          <w:position w:val="0"/>
          <w:sz w:val="24"/>
          <w:szCs w:val="24"/>
          <w:highlight w:val="none"/>
        </w:rPr>
      </w:pPr>
      <w:r>
        <w:rPr>
          <w:rFonts w:hint="eastAsia" w:ascii="宋体" w:hAnsi="宋体" w:eastAsia="宋体" w:cs="宋体"/>
          <w:kern w:val="2"/>
          <w:position w:val="0"/>
          <w:sz w:val="24"/>
          <w:szCs w:val="24"/>
          <w:highlight w:val="none"/>
          <w:lang w:val="en-US" w:eastAsia="zh-CN" w:bidi="ar"/>
        </w:rPr>
        <w:t>包括但不限于各类债券、存款、货币市场金融工具、债券基金、质押式及买断式回购、非标准化债权类资产，其他符合监管要求的固定收益类资产及资产管理产品。</w:t>
      </w:r>
    </w:p>
    <w:p>
      <w:pPr>
        <w:keepNext w:val="0"/>
        <w:keepLines w:val="0"/>
        <w:widowControl w:val="0"/>
        <w:suppressLineNumbers w:val="0"/>
        <w:spacing w:before="0" w:beforeAutospacing="0" w:after="0" w:afterAutospacing="0"/>
        <w:ind w:left="0" w:leftChars="0" w:right="0" w:firstLine="480" w:firstLineChars="200"/>
        <w:jc w:val="both"/>
        <w:rPr>
          <w:rFonts w:hint="eastAsia" w:ascii="宋体" w:hAnsi="宋体" w:eastAsia="宋体" w:cs="宋体"/>
          <w:highlight w:val="none"/>
        </w:rPr>
      </w:pPr>
      <w:r>
        <w:rPr>
          <w:rFonts w:hint="eastAsia" w:ascii="宋体" w:hAnsi="宋体" w:eastAsia="宋体" w:cs="宋体"/>
          <w:kern w:val="2"/>
          <w:position w:val="0"/>
          <w:sz w:val="24"/>
          <w:szCs w:val="24"/>
          <w:highlight w:val="none"/>
          <w:lang w:val="en-US" w:eastAsia="zh-CN" w:bidi="ar"/>
        </w:rPr>
        <w:t>法律法规或监管机构允许投资的符合本理财产品投资性质的其他金融资产。</w:t>
      </w:r>
    </w:p>
    <w:p>
      <w:pPr>
        <w:numPr>
          <w:ilvl w:val="0"/>
          <w:numId w:val="12"/>
        </w:numPr>
        <w:spacing w:line="360" w:lineRule="auto"/>
        <w:jc w:val="left"/>
        <w:outlineLvl w:val="2"/>
        <w:rPr>
          <w:rFonts w:hint="eastAsia" w:ascii="宋体" w:hAnsi="宋体" w:eastAsia="宋体" w:cs="宋体"/>
          <w:b/>
          <w:sz w:val="24"/>
          <w:highlight w:val="none"/>
        </w:rPr>
      </w:pPr>
      <w:r>
        <w:rPr>
          <w:rFonts w:hint="eastAsia" w:ascii="宋体" w:hAnsi="宋体" w:eastAsia="宋体" w:cs="宋体"/>
          <w:b/>
          <w:sz w:val="24"/>
          <w:highlight w:val="none"/>
        </w:rPr>
        <w:t>投资比例</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本理财计划各投资资产占</w:t>
      </w:r>
      <w:r>
        <w:rPr>
          <w:rFonts w:hint="eastAsia" w:ascii="宋体" w:hAnsi="宋体" w:eastAsia="宋体" w:cs="宋体"/>
          <w:bCs/>
          <w:sz w:val="24"/>
          <w:highlight w:val="none"/>
          <w:lang w:eastAsia="zh-CN"/>
        </w:rPr>
        <w:t>总</w:t>
      </w:r>
      <w:r>
        <w:rPr>
          <w:rFonts w:hint="eastAsia" w:ascii="宋体" w:hAnsi="宋体" w:eastAsia="宋体" w:cs="宋体"/>
          <w:bCs/>
          <w:sz w:val="24"/>
          <w:highlight w:val="none"/>
        </w:rPr>
        <w:t>资产的配置比例如下：</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sz w:val="24"/>
          <w:szCs w:val="24"/>
          <w:highlight w:val="none"/>
        </w:rPr>
      </w:pPr>
      <w:r>
        <w:rPr>
          <w:rFonts w:hint="eastAsia" w:ascii="宋体" w:hAnsi="宋体" w:eastAsia="宋体" w:cs="宋体"/>
          <w:kern w:val="2"/>
          <w:sz w:val="24"/>
          <w:szCs w:val="24"/>
          <w:lang w:val="en-US" w:eastAsia="zh-CN" w:bidi="ar"/>
        </w:rPr>
        <w:t>本理财产品投资于固定收益类资产的比例不低于80%，投资于非标准化债权类资产的比例不高于50%。</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3"/>
        </w:numPr>
        <w:adjustRightInd/>
        <w:spacing w:line="360" w:lineRule="auto"/>
        <w:ind w:firstLine="458" w:firstLineChars="19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numPr>
          <w:ilvl w:val="0"/>
          <w:numId w:val="14"/>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将通过对宏观经济形势、各项国家政策、及证券市场环境的分析来判断经济周期目前的位置，主动判断市场时机进行资产配置，确定在各类资产上的投资比例。</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5"/>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lang w:eastAsia="zh-CN"/>
        </w:rPr>
        <w:t>拟</w:t>
      </w:r>
      <w:r>
        <w:rPr>
          <w:rFonts w:hint="eastAsia" w:ascii="宋体" w:hAnsi="宋体" w:cs="宋体"/>
          <w:b/>
          <w:bCs w:val="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Cs w:val="21"/>
                <w:highlight w:val="none"/>
              </w:rPr>
            </w:pPr>
            <w:r>
              <w:rPr>
                <w:rFonts w:hint="default"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szCs w:val="21"/>
                <w:highlight w:val="none"/>
                <w:lang w:val="en-US" w:eastAsia="zh-CN"/>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8"/>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eastAsia="宋体"/>
                <w:lang w:val="en-US" w:eastAsia="zh-CN"/>
              </w:rPr>
            </w:pPr>
            <w:r>
              <w:rPr>
                <w:rFonts w:hint="eastAsia"/>
                <w:lang w:val="en-US" w:eastAsia="zh-CN"/>
              </w:rPr>
              <w:t>汉口银行股份有限公司</w:t>
            </w: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eastAsia="宋体"/>
                <w:lang w:val="en-US" w:eastAsia="zh-CN"/>
              </w:rPr>
            </w:pPr>
            <w:r>
              <w:rPr>
                <w:rFonts w:hint="eastAsia" w:ascii="宋体" w:hAnsi="宋体" w:eastAsia="宋体" w:cs="宋体"/>
                <w:sz w:val="21"/>
                <w:szCs w:val="21"/>
              </w:rPr>
              <w:t>湖北省武汉市江汉区建设大道933号武汉商业银行大厦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eastAsia="宋体"/>
                <w:lang w:val="en-US" w:eastAsia="zh-CN"/>
              </w:rPr>
            </w:pPr>
            <w:r>
              <w:rPr>
                <w:rFonts w:hint="default" w:eastAsia="宋体"/>
                <w:lang w:val="en-US" w:eastAsia="zh-CN"/>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东营银行股份有限公司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中原银行股份有限公司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河南省郑州市郑东新区CBD商务外环路23号中科金座大厦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0371-85519999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中山市东区中山三路26号之一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0760-23327126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乌鲁木齐银行股份有限公司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九江银行股份有限公司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南平市建阳区农村信用合作联社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南平市建阳区人民路11号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0599-5843205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南靖县农村信用合作联社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南靖县山城镇中山北路47号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0596-7891578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中国(福建)自由贸易试验区厦门片区东港北路31号(1层、17层、19层、27-28层、30-31层)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厦门国际银行股份有限公司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古田县农村信用合作联社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古田县城东解放路192号B</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0593-3883865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哈密市商业银行股份有限公司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新疆哈密市伊州区天山北路52号哈建大厦1-4层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0902-2365763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大田县农村信用合作联社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福建省三明市大田县均溪镇赤岩山路2号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0598-7232686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天津农村商业银行股份有限公司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天津市河西区友谊路32号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022-83875555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威海银行股份有限公司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威海市青岛北路137A号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宁化县农村信用合作联社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宁化县翠江镇中环南路中环花园4幢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宁夏银行股份有限公司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银川市金凤区北京中路157号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宁波余姚农村商业银行股份有限公司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浙江省余姚市新建路69号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0574-62628862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宁波北仑农村商业银行股份有限公司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宁波市北仑区新碶宝山路69号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0574-86965857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宁波奉化农村商业银行股份有限公司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宁波宁海农村商业银行股份有限公司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宁海县跃龙街道学勉路1号（金融中心1903）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0574-83522699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宁波慈溪农村商业银行股份有限公司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浙江省慈溪市浒山街道南城路25号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0574-63810682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宁波通商银行股份有限公司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宁波镇海农村商业银行股份有限公司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宁波市镇海区骆驼街道镇海大道中段788号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0574-86297777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富滇银行股份有限公司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云南省昆明市西山区西园路1912号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0871-63127342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寿宁县农村信用合作联社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福建省宁德市寿宁县鳌阳镇东区梦龙街5号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0593-5522885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尤溪县农村信用合作联社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尤溪县城关解放路39号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山西银行股份有限公司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山西转型综合改革示范区学府产业园高新街15号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0351-96588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广州市越秀区东风东路713号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02038322606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广州市黄埔区映日路9号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广西北部湾银行股份有限公司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南宁市良庆区云英路8号五象总部大厦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40000-96288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廊坊银行股份有限公司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河北省廊坊市广阳区爱民东道83号新世界中心办公楼大厦C区17号楼5-14层、22层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0316-2204286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张家口银行股份有限公司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张家口市桥东区胜利北路51号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4006896368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德化县农村信用合作联社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福建省泉州市德化县浔中镇浔东北路中段福万通大厦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0595-3522343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德州银行股份有限公司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惠安县农村信用合作联社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螺城镇建设南路118号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0595-7393115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成都农村商业银行股份有限公司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新疆银行股份有限公司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新疆乌鲁木齐市天山区新华南路338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0991-96559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新韩银行（中国）有限公司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无锡农村商业银行股份有限公司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江苏省无锡市锡山区延庆街11号、丹山路66-3、66-1301号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无锡锡商银行股份有限公司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江苏省无锡市锡山区安镇街道东翔路578号红豆财富广场1-2层、5-11层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4008880555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昆仑银行股份有限公司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新疆克拉玛依市世纪大道7号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明溪县农村信用合作联社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明溪县雪峰镇河滨北路339号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0598-2816124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晋商银行股份有限公司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松溪县农村信用合作联社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松溪县工农东路1号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0599-2322409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永春县农村信用合作联社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永春县桃城镇湖滨路301号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0595-3860053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永泰县农村信用合作联社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福建省永泰县樟城镇南湖花园E区9号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0591-24836069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江苏丹阳农村商业银行股份有限公司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镇江市丹阳金陵西路152号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江苏南通农村商业银行股份有限公司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南通市崇川区工农南路89号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江苏启东农村商业银行股份有限公司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江苏省启东市汇龙镇金沙江路1688号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0513-83929017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江苏常熟农村商业银行股份有限公司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江苏张家港农村商业银行股份有限公司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96065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江苏扬州农村商业银行股份有限公司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江苏省扬州市同泰路107号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江苏江南农村商业银行股份有限公司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常州市武进区延政中路9号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0519-88806087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江苏江阴农村商业银行股份有限公司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江阴市澄江中路1号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0510-86823403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江苏泗阳农村商业银行股份有限公司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江苏省泗阳县众兴镇北京中路21号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江苏滨海农村商业银行股份有限公司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滨海县城迎宾中路1号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江苏紫金农村商业银行股份有限公司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南京市建邺区江东中路381号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025-88866792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江苏苏州农村商业银行股份有限公司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江苏省苏州市吴江区中山南路1777号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江苏镇江农村商业银行股份有限公司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江苏省镇江市润州区长江路97号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沧州银行股份有限公司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河北省沧州市运河区双金路2号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400-612-6699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泉州农村商业银行股份有限公司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泉州银行股份有限公司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浙江三门农村商业银行股份有限公司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浙江省三门县海游街道上洋路68号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0576-83302358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浙江上虞农村商业银行股份有限公司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浙江省上虞区百官街道德盛路55号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浙江临安农村商业银行股份有限公司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杭州市临安区钱王街821号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0571-61105831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浙江临海农村商业银行股份有限公司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浙江省临海市大洋街道河阳路299号临海农商银行15F金融市场中心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0576-85307599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浙江仙居农村商业银行股份有限公司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浙江省仙居县穿城中路21号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0576-87771202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浙江南浔农村商业银行股份有限公司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浙江省湖州市南浔区南浔镇人瑞路1188号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浙江台州路桥农村商业银行股份有限公司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浙江省台州市路桥区路北街道中心大道5789号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浙江嘉善农村商业银行股份有限公司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浙江省嘉善县罗星街道车站南路999号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0573-84226126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浙江天台农村商业银行股份有限公司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浙江天台飞鹤路358号304室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浙江嵊泗农村商业银行股份有限公司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浙江省嵊泗县菜园镇沙河路110号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0580-5081456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浙江平湖农村商业银行股份有限公司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浙江省平湖市当湖街道胜利路518号平湖农商银行总行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0573-85150528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浙江建德农村商业银行股份有限公司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浙江省建德市新安江街道江滨中路176号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0571-64735233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浙江文成农村商业银行股份有限公司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浙江新昌农村商业银行股份有限公司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浙江民泰商业银行股份有限公司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浙江省温岭市太平街道三星大道168号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浙江永嘉农村商业银行股份有限公司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浙江泰顺农村商业银行股份有限公司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浙江泰顺县罗阳镇文祥大道181号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浙江浦江农村商业银行股份有限公司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浙江海盐农村商业银行股份有限公司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浙江海盐武原街道枣园西路176号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浙江淳安农村商业银行股份有限公司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浙江省杭州市淳安县千岛湖镇环湖北路369号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0571-65096596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浙江温岭农村商业银行股份有限公司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温岭市城东街道下保路100号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0576-81627780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浙江温州瓯海农村商业银行股份有限公司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温州市瓯海区瓯海大道989号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浙江温州鹿城农村商业银行股份有限公司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温州市鹿城区会展路1500号 9楼金融同业部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0576-88077689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浙江温州龙湾农村商业银行股份有限公司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浙江瑞安农村商业银行股份有限公司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浙江省温州市瑞安市安阳街道万松东路148号瑞安农商银行总行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浙江禾城农村商业银行股份有限公司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浙江省嘉兴市经济技术开发区文昌路1229号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浙江绍兴恒信农村商业银行股份有限公司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浙江苍南农村商业银行股份有限公司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浙江省温州市苍南县灵溪镇人民大道425号苍南农商银行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浙江萧山农村商业银行股份有限公司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杭州市萧山区城厢街道人民路258号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浙江衢州衢江农村商业银行股份有限公司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浙江诸暨农村商业银行股份有限公司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浙江金华成泰农村商业银行股份有限公司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浙江省金华市八一南街123号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浙江长兴农村商业银行股份有限公司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浙江青田农村商业银行股份有限公司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浙江省丽水市青田县鹤城街道鹤城东路180号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0578-6833720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浙江龙泉农村商业银行股份有限公司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浙江省丽水市龙泉市中山东路101号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0578-7761306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浦城县农村信用合作联社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浦城县兴浦路235号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0599-2833967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海南银行股份有限公司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温州银行股份有限公司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浙江省温州市鹿城区会展路1316号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0577-88990092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湖北银行股份有限公司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武汉市武昌区水果湖街中北路86号汉街总部国际8栋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4008596599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湖南银行股份有限公司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湖南省长沙市天心区湘江中路二段210号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0731-89828919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湖州吴兴农村商业银行股份有限公司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潍坊银行股份有限公司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烟台银行股份有限公司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0535-6691305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甘肃银行股份有限公司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石嘴山银行股份有限公司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福建三明农村商业银行股份有限公司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福建省三明市三元区东新三路68号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0598-8254103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福建上杭农村商业银行股份有限公司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上杭县临江镇振兴路171号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0597-3886056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福建仙游农村商业银行股份有限公司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福建省仙游县鲤城街道党校街1188号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0594-8296547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福建南安农村商业银行股份有限公司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福建省南安市成功街889号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0595-86395359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福建宁德农村商业银行股份有限公司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宁德市蕉城区万安西路21号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0593-2879738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福建安溪农村商业银行股份有限公司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福建省泉州市安溪县建安大道230号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86-595-23239771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福建平和农村商业银行股份有限公司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福建省漳州市平和县小溪镇北环路86号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0596-5230635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福建建瓯农村商业银行股份有限公司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福建省建瓯市中山路463号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0599-3851972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福建晋江农村商业银行股份有限公司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晋江市青阳崇德路196号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0595-85661772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福建沙县农村商业银行股份有限公司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沙县李纲中路100号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0598-5824350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福建海峡银行股份有限公司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福建省福州市台江区江滨中大道358号海峡银行大厦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4008939999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福建漳州农村商业银行股份有限公司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福建省漳州市芗城区水仙大街53号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0596-2679870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福建漳浦农村商业银行股份有限公司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福建漳浦县绥安镇朝阳大道东296号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0596-3109775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福建石狮农村商业银行股份有限公司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福建省石狮市八七路2128-2150号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0595-88583931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福建福州农村商业银行股份有限公司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福州市鼓楼区五凤街道福飞路118号心连心金融大厦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0591-88019022,0591-88019023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福建莆田农村商业银行股份有限公司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福建省莆田市城厢区霞林街道南园西路266号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0594-2096336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福建连江农村商业银行股份有限公司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福建省福州市连江县凤城镇丹凤东路30号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0591-26232339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福建邵武农村商业银行股份有限公司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邵武市熙春中路248号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05996210679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福建长乐农村商业银行股份有限公司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福建省福州市长乐市吴航街道朝阳中路193号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0591-28839363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福建龙岩农村商业银行股份有限公司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龙岩市新罗区西城西安南路295号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0597-2258601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福建龙海农村商业银行股份有限公司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龙海市石码镇港林路17号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0596-6521280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福鼎市农村信用合作联社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福鼎市太姥商厦A幢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0593-7826603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秦皇岛银行股份有限公司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罗源县农村信用合作联社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罗源县凤山镇北大路11号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苏州银行股份有限公司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蒙商银行股份有限公司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内蒙古自治区包头市九原区赛汗街道办事处建华南路2号A座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0472-2658888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贵阳银行股份有限公司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辽宁农村商业银行股份有限公司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辽宁省沈阳市浑南区王滨街道王滨沟村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连城县农村信用合作联社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连城县莲峰镇北大东路64号（百花金城小区1号楼）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0597-8923750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郑州银行股份有限公司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长安银行股份有限公司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长沙银行股份有限公司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长沙市芙蓉中路一段433号长沙银行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0731-89934772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闽侯县农村信用合作联社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闽侯县甘蔗镇入城路北侧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0591-2298221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闽清县农村信用合作联社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福建省福州市闽清县梅城镇西门街196号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0591-22332666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青岛银行股份有限公司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山东省青岛市崂山区秦岭路6号3号楼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0532-53296588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青海大通农村商业银行股份有限公司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青海省西宁市大通回族土族自治县桥头镇人民路112号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0971-96888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青海西宁农村商业银行股份有限公司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青海省西宁市城西区海晏路81号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0971-96888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青海银行股份有限公司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青海省西宁市城西区西关大街130号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96399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顺昌县农村信用合作联社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顺昌县双溪中山中路53号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0599781379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齐商银行股份有限公司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淄博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4008696588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齐鲁银行股份有限公司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龙岩市永定区农村信用合作联社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福建省龙岩市永定区凤城街道沿河北路北198号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0597-5838458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3）</w:t>
      </w:r>
      <w:r>
        <w:rPr>
          <w:rFonts w:hint="eastAsia" w:ascii="宋体" w:hAnsi="宋体"/>
          <w:sz w:val="24"/>
          <w:highlight w:val="none"/>
        </w:rPr>
        <w:t>首次发行未上市的股票，按发行价格进行估值；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4）</w:t>
      </w:r>
      <w:r>
        <w:rPr>
          <w:rFonts w:hint="eastAsia" w:ascii="宋体" w:hAnsi="宋体"/>
          <w:sz w:val="24"/>
          <w:highlight w:val="none"/>
        </w:rPr>
        <w:t>因持有股票而享有的配股权，采用估值技术确定公允价值。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E份额〗、〖G份额〗、〖H份额〗、〖I份额〗、〖J份额〗、〖K份额〗、〖M份额〗、〖O份额〗、〖P份额〗、〖Q份额〗、〖V份额〗、〖X份额〗、〖ZZ份额〗和销售服务费于产品成立日一次性收取的〖N份额〗、〖R份额〗、〖T份额〗、〖W份额〗、〖Y份额〗、〖Z份额〗。A份额的年化销售服务费率为〖0.30%〗, B份额的年化销售服务费率为〖0.20%〗, C份额的年化销售服务费率为〖0.10%〗, D份额的年化销售服务费率为〖0.15%〗, E份额的年化销售服务费率为〖0.40%〗, G份额的年化销售服务费率为〖0.01%〗, H份额的年化销售服务费率为〖0.20%〗, I份额的年化销售服务费率为〖0.30%〗, J份额的年化销售服务费率为〖0.05%〗, K份额的年化销售服务费率为〖0.30%〗, M份额的年化销售服务费率为〖0.15%〗, N份额的年化销售服务费率为〖0.20%〗, O份额的年化销售服务费率为〖0.20%〗, P份额的年化销售服务费率为〖0.15%〗, Q份额的年化销售服务费率为〖0.15%〗, R份额的年化销售服务费率为〖0.15%〗, T份额的年化销售服务费率为〖0.15%〗, V份额的年化销售服务费率为〖0.15%〗, W份额的年化销售服务费率为〖0.30%〗, X份额的年化销售服务费率为〖0.05%〗, Y份额的年化销售服务费率为〖0.20%〗, Z份额的年化销售服务费率为〖0.10%〗, ZZ份额的年化销售服务费率为〖0.40%〗。两种计算方法如下：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H2为〖N份额〗应计提的销售服务费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E2为〖N份额〗成立日产品份额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color w:val="000000"/>
          <w:sz w:val="24"/>
          <w:szCs w:val="24"/>
          <w:highlight w:val="none"/>
          <w:lang w:eastAsia="zh"/>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A份额的年化固定管理费率为〖0.10%〗, B份额的年化固定管理费率为〖0.10%〗, C份额的年化固定管理费率为〖0.10%〗, D份额的年化固定管理费率为〖0.10%〗, E份额的年化固定管理费率为〖0.15%〗, G份额的年化固定管理费率为〖0.04%〗, H份额的年化固定管理费率为〖0.10%〗, I份额的年化固定管理费率为〖0.10%〗, J份额的年化固定管理费率为〖0.10%〗, K份额的年化固定管理费率为〖0.10%〗, M份额的年化固定管理费率为〖0.10%〗, N份额的年化固定管理费率为〖0.10%〗, O份额的年化固定管理费率为〖0.10%〗, P份额的年化固定管理费率为〖0.10%〗, Q份额的年化固定管理费率为〖0.10%〗, R份额的年化固定管理费率为〖0.10%〗, T份额的年化固定管理费率为〖0.09%〗, V份额的年化固定管理费率为〖0.10%〗, W份额的年化固定管理费率为〖0.10%〗, X份额的年化固定管理费率为〖0.10%〗, Y份额的年化固定管理费率为〖0.10%〗, Z份额的年化固定管理费率为〖0.10%〗, ZZ份额的年化固定管理费率为〖0.10%〗, 以〖A份额〗</w:t>
      </w:r>
      <w:r>
        <w:rPr>
          <w:rFonts w:hint="eastAsia" w:ascii="宋体" w:hAnsi="宋体" w:cs="宋体"/>
          <w:bCs/>
          <w:color w:val="000000"/>
          <w:sz w:val="24"/>
          <w:highlight w:val="none"/>
        </w:rPr>
        <w:t>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0.10</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FF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
        </w:rPr>
        <w:t>。</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2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0"/>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0"/>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1.0615，此时，(1.0615÷1.0000-1)×365÷362=6.20%&gt;5.00%，即在〖4.00%-5.00%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%作为浮动管理费，超过〖5.00%〗部分的投资收益管理人收取</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%+(5.00%-4.00%)×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 4,</w:t>
      </w:r>
      <w:r>
        <w:rPr>
          <w:rFonts w:hint="eastAsia" w:ascii="宋体" w:hAnsi="宋体" w:cs="宋体"/>
          <w:color w:val="000000"/>
          <w:kern w:val="2"/>
          <w:sz w:val="24"/>
          <w:szCs w:val="24"/>
          <w:lang w:val="en-US" w:eastAsia="zh" w:bidi="ar"/>
        </w:rPr>
        <w:t>701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23</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1.0415，此时，(1.0415÷1.0000-1)×365÷362=4.18%，即投资收益超过〖4.00%〗但未达到〖5.00%〗，则超过〖4.00%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 xml:space="preserve"> =4,0</w:t>
      </w:r>
      <w:r>
        <w:rPr>
          <w:rFonts w:hint="eastAsia" w:ascii="宋体" w:hAnsi="宋体" w:cs="宋体"/>
          <w:color w:val="000000"/>
          <w:kern w:val="2"/>
          <w:sz w:val="24"/>
          <w:szCs w:val="24"/>
          <w:lang w:val="en-US" w:eastAsia="zh" w:bidi="ar"/>
        </w:rPr>
        <w:t>58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56</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kern w:val="2"/>
          <w:sz w:val="24"/>
          <w:szCs w:val="24"/>
          <w:lang w:val="en-US" w:eastAsia="zh-CN" w:bidi="ar"/>
        </w:rPr>
        <w:t>〖1〗个〖工作日〗</w:t>
      </w:r>
      <w:r>
        <w:rPr>
          <w:rFonts w:hint="eastAsia" w:ascii="宋体" w:hAnsi="宋体" w:cs="宋体"/>
          <w:bCs/>
          <w:sz w:val="24"/>
          <w:highlight w:val="none"/>
        </w:rPr>
        <w:t>、最晚</w:t>
      </w:r>
      <w:r>
        <w:rPr>
          <w:rFonts w:hint="eastAsia" w:ascii="宋体" w:hAnsi="宋体" w:eastAsia="宋体" w:cs="宋体"/>
          <w:kern w:val="2"/>
          <w:sz w:val="24"/>
          <w:szCs w:val="24"/>
          <w:lang w:val="en-US" w:eastAsia="zh-CN" w:bidi="ar"/>
        </w:rPr>
        <w:t>〖3〗个〖工作日〗</w:t>
      </w:r>
      <w:r>
        <w:rPr>
          <w:rFonts w:hint="eastAsia" w:ascii="宋体" w:hAnsi="宋体" w:cs="宋体"/>
          <w:bCs/>
          <w:sz w:val="24"/>
          <w:highlight w:val="none"/>
        </w:rPr>
        <w:t>内（遇节假日顺延）将资金按规定的要求划入投资者授权指定的理财账户。（具体以销售机构规定为准）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4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应在发生可能对理财计划投资者或者理财计划收益产生重大事项的事件后2个工作日内发布重大事项公告。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3"/>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w:t>
      </w:r>
      <w:bookmarkStart w:id="0" w:name="_GoBack"/>
      <w:bookmarkEnd w:id="0"/>
      <w:r>
        <w:rPr>
          <w:rFonts w:hint="eastAsia" w:ascii="宋体" w:hAnsi="宋体" w:cs="宋体"/>
          <w:b/>
          <w:color w:val="000000"/>
          <w:sz w:val="24"/>
          <w:highlight w:val="none"/>
        </w:rPr>
        <w:t>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8">
    <w:nsid w:val="D8D75090"/>
    <w:multiLevelType w:val="singleLevel"/>
    <w:tmpl w:val="D8D75090"/>
    <w:lvl w:ilvl="0" w:tentative="0">
      <w:start w:val="1"/>
      <w:numFmt w:val="decimal"/>
      <w:suff w:val="nothing"/>
      <w:lvlText w:val="（%1）"/>
      <w:lvlJc w:val="left"/>
      <w:rPr>
        <w:rFonts w:hint="default"/>
        <w:b w:val="0"/>
        <w:bCs w:val="0"/>
      </w:rPr>
    </w:lvl>
  </w:abstractNum>
  <w:abstractNum w:abstractNumId="19">
    <w:nsid w:val="DD2251DF"/>
    <w:multiLevelType w:val="singleLevel"/>
    <w:tmpl w:val="DD2251DF"/>
    <w:lvl w:ilvl="0" w:tentative="0">
      <w:start w:val="1"/>
      <w:numFmt w:val="decimal"/>
      <w:suff w:val="nothing"/>
      <w:lvlText w:val="（%1）"/>
      <w:lvlJc w:val="left"/>
      <w:rPr>
        <w:rFonts w:hint="default"/>
        <w:b w:val="0"/>
        <w:bCs w:val="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1">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2">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3">
    <w:nsid w:val="F574F5B6"/>
    <w:multiLevelType w:val="singleLevel"/>
    <w:tmpl w:val="F574F5B6"/>
    <w:lvl w:ilvl="0" w:tentative="0">
      <w:start w:val="1"/>
      <w:numFmt w:val="decimal"/>
      <w:suff w:val="nothing"/>
      <w:lvlText w:val="（%1）"/>
      <w:lvlJc w:val="left"/>
    </w:lvl>
  </w:abstractNum>
  <w:abstractNum w:abstractNumId="24">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5">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084A6179"/>
    <w:multiLevelType w:val="singleLevel"/>
    <w:tmpl w:val="084A6179"/>
    <w:lvl w:ilvl="0" w:tentative="0">
      <w:start w:val="1"/>
      <w:numFmt w:val="decimal"/>
      <w:suff w:val="nothing"/>
      <w:lvlText w:val="（%1）"/>
      <w:lvlJc w:val="left"/>
      <w:rPr>
        <w:rFonts w:hint="default"/>
        <w:highlight w:val="none"/>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4"/>
  </w:num>
  <w:num w:numId="4">
    <w:abstractNumId w:val="22"/>
  </w:num>
  <w:num w:numId="5">
    <w:abstractNumId w:val="28"/>
  </w:num>
  <w:num w:numId="6">
    <w:abstractNumId w:val="21"/>
  </w:num>
  <w:num w:numId="7">
    <w:abstractNumId w:val="16"/>
  </w:num>
  <w:num w:numId="8">
    <w:abstractNumId w:val="10"/>
  </w:num>
  <w:num w:numId="9">
    <w:abstractNumId w:val="13"/>
  </w:num>
  <w:num w:numId="10">
    <w:abstractNumId w:val="7"/>
  </w:num>
  <w:num w:numId="11">
    <w:abstractNumId w:val="8"/>
  </w:num>
  <w:num w:numId="12">
    <w:abstractNumId w:val="6"/>
  </w:num>
  <w:num w:numId="13">
    <w:abstractNumId w:val="41"/>
  </w:num>
  <w:num w:numId="14">
    <w:abstractNumId w:val="4"/>
  </w:num>
  <w:num w:numId="15">
    <w:abstractNumId w:val="0"/>
  </w:num>
  <w:num w:numId="16">
    <w:abstractNumId w:val="35"/>
  </w:num>
  <w:num w:numId="17">
    <w:abstractNumId w:val="23"/>
  </w:num>
  <w:num w:numId="18">
    <w:abstractNumId w:val="15"/>
  </w:num>
  <w:num w:numId="19">
    <w:abstractNumId w:val="32"/>
  </w:num>
  <w:num w:numId="20">
    <w:abstractNumId w:val="17"/>
  </w:num>
  <w:num w:numId="21">
    <w:abstractNumId w:val="5"/>
  </w:num>
  <w:num w:numId="22">
    <w:abstractNumId w:val="38"/>
  </w:num>
  <w:num w:numId="23">
    <w:abstractNumId w:val="3"/>
  </w:num>
  <w:num w:numId="24">
    <w:abstractNumId w:val="27"/>
  </w:num>
  <w:num w:numId="25">
    <w:abstractNumId w:val="31"/>
  </w:num>
  <w:num w:numId="26">
    <w:abstractNumId w:val="42"/>
  </w:num>
  <w:num w:numId="27">
    <w:abstractNumId w:val="26"/>
  </w:num>
  <w:num w:numId="28">
    <w:abstractNumId w:val="19"/>
  </w:num>
  <w:num w:numId="29">
    <w:abstractNumId w:val="34"/>
  </w:num>
  <w:num w:numId="30">
    <w:abstractNumId w:val="1"/>
  </w:num>
  <w:num w:numId="31">
    <w:abstractNumId w:val="20"/>
  </w:num>
  <w:num w:numId="32">
    <w:abstractNumId w:val="25"/>
  </w:num>
  <w:num w:numId="33">
    <w:abstractNumId w:val="37"/>
  </w:num>
  <w:num w:numId="34">
    <w:abstractNumId w:val="29"/>
  </w:num>
  <w:num w:numId="35">
    <w:abstractNumId w:val="14"/>
  </w:num>
  <w:num w:numId="36">
    <w:abstractNumId w:val="40"/>
  </w:num>
  <w:num w:numId="37">
    <w:abstractNumId w:val="11"/>
  </w:num>
  <w:num w:numId="38">
    <w:abstractNumId w:val="9"/>
  </w:num>
  <w:num w:numId="39">
    <w:abstractNumId w:val="12"/>
  </w:num>
  <w:num w:numId="40">
    <w:abstractNumId w:val="30"/>
  </w:num>
  <w:num w:numId="41">
    <w:abstractNumId w:val="18"/>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A78441F"/>
    <w:rsid w:val="0CB54915"/>
    <w:rsid w:val="0CE01EEC"/>
    <w:rsid w:val="0D2F3D4F"/>
    <w:rsid w:val="0D5B65FA"/>
    <w:rsid w:val="0D7A6610"/>
    <w:rsid w:val="0E0C54BC"/>
    <w:rsid w:val="0E4F5341"/>
    <w:rsid w:val="0E5C2D4A"/>
    <w:rsid w:val="10E7747B"/>
    <w:rsid w:val="10F25E29"/>
    <w:rsid w:val="11FA0C01"/>
    <w:rsid w:val="128B25FE"/>
    <w:rsid w:val="12DA17D8"/>
    <w:rsid w:val="13966FA1"/>
    <w:rsid w:val="1474151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2A05C72"/>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A767328"/>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4346C5"/>
    <w:rsid w:val="69827CEE"/>
    <w:rsid w:val="6BDE71F2"/>
    <w:rsid w:val="6C9577EB"/>
    <w:rsid w:val="6CBA3A99"/>
    <w:rsid w:val="6D3A1203"/>
    <w:rsid w:val="6DFE35A5"/>
    <w:rsid w:val="6E9C369D"/>
    <w:rsid w:val="6EF41B11"/>
    <w:rsid w:val="6FF79273"/>
    <w:rsid w:val="702573F3"/>
    <w:rsid w:val="70B57531"/>
    <w:rsid w:val="70FA499F"/>
    <w:rsid w:val="730C182D"/>
    <w:rsid w:val="73F5BB6D"/>
    <w:rsid w:val="73FC9A3F"/>
    <w:rsid w:val="75141126"/>
    <w:rsid w:val="751974A1"/>
    <w:rsid w:val="758B30E4"/>
    <w:rsid w:val="7599558D"/>
    <w:rsid w:val="75F42331"/>
    <w:rsid w:val="761F7C3C"/>
    <w:rsid w:val="76683D2A"/>
    <w:rsid w:val="76C62D9E"/>
    <w:rsid w:val="77604271"/>
    <w:rsid w:val="78244617"/>
    <w:rsid w:val="7A923507"/>
    <w:rsid w:val="7AAFF850"/>
    <w:rsid w:val="7ACB640D"/>
    <w:rsid w:val="7B495B68"/>
    <w:rsid w:val="7BFF1A29"/>
    <w:rsid w:val="7C044D89"/>
    <w:rsid w:val="7C63442B"/>
    <w:rsid w:val="7D3AA22F"/>
    <w:rsid w:val="7D616589"/>
    <w:rsid w:val="7D9F2F3F"/>
    <w:rsid w:val="7DE35ECA"/>
    <w:rsid w:val="7DF186E2"/>
    <w:rsid w:val="7E1A0C5A"/>
    <w:rsid w:val="7E3212D3"/>
    <w:rsid w:val="7E7F7BE9"/>
    <w:rsid w:val="7F5F887D"/>
    <w:rsid w:val="7F9FC635"/>
    <w:rsid w:val="7FCC7D05"/>
    <w:rsid w:val="7FEF42B8"/>
    <w:rsid w:val="7FEFE414"/>
    <w:rsid w:val="7FF2B36D"/>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68</Pages>
  <Words>43424</Words>
  <Characters>48009</Characters>
  <Lines>1</Lines>
  <Paragraphs>1</Paragraphs>
  <TotalTime>2</TotalTime>
  <ScaleCrop>false</ScaleCrop>
  <LinksUpToDate>false</LinksUpToDate>
  <CharactersWithSpaces>48509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2026-02-28T07:24:59Z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594A8659FF86D9C32F95A26915653E99_43</vt:lpwstr>
  </property>
</Properties>
</file>