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outlineLvl w:val="1"/>
        <w:rPr>
          <w:rFonts w:hint="eastAsia" w:ascii="宋体" w:hAnsi="宋体" w:cs="宋体"/>
          <w:b/>
          <w:bCs/>
          <w:color w:val="000000"/>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outlineLvl w:val="2"/>
        <w:rPr>
          <w:rFonts w:hint="eastAsia" w:ascii="宋体" w:hAnsi="宋体" w:cs="宋体"/>
          <w:b/>
          <w:kern w:val="0"/>
          <w:sz w:val="24"/>
          <w:highlight w:val="none"/>
        </w:rPr>
      </w:pPr>
      <w:r>
        <w:rPr>
          <w:rFonts w:hint="eastAsia" w:ascii="宋体" w:hAnsi="宋体" w:cs="宋体"/>
          <w:b/>
          <w:kern w:val="0"/>
          <w:sz w:val="24"/>
          <w:highlight w:val="none"/>
        </w:rPr>
        <w:t>理财计划办理流程</w:t>
      </w:r>
    </w:p>
    <w:p>
      <w:pPr>
        <w:numPr>
          <w:ilvl w:val="0"/>
          <w:numId w:val="2"/>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rPr>
        <w:t>首次在销售机构购买杭银理财理财计划的个人投资者须接受并完成销售机构对您的风险承受能力评估，并确认风险承受能力等级不低于本理财计划风险评级。</w:t>
      </w:r>
      <w:r>
        <w:rPr>
          <w:rFonts w:hint="eastAsia" w:ascii="宋体" w:hAnsi="宋体" w:cs="宋体"/>
          <w:kern w:val="0"/>
          <w:sz w:val="24"/>
          <w:highlight w:val="none"/>
          <w:lang w:val="en-US" w:eastAsia="zh-CN"/>
        </w:rPr>
        <w:t>如销售机构对于机构投资者的风险承受能力评估有要求的，则参照销售机构相关评估标准或代理销售协议书执行。</w:t>
      </w:r>
    </w:p>
    <w:p>
      <w:pPr>
        <w:numPr>
          <w:ilvl w:val="0"/>
          <w:numId w:val="2"/>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rPr>
        <w:t>投资者应仔细阅读本理财计划完整合同（包括但不限于</w:t>
      </w:r>
      <w:r>
        <w:rPr>
          <w:rFonts w:hint="eastAsia" w:ascii="宋体" w:hAnsi="宋体" w:cs="宋体"/>
          <w:kern w:val="0"/>
          <w:sz w:val="24"/>
          <w:highlight w:val="none"/>
          <w:lang w:eastAsia="zh-CN"/>
        </w:rPr>
        <w:t>理财计划</w:t>
      </w:r>
      <w:r>
        <w:rPr>
          <w:rFonts w:hint="eastAsia" w:ascii="宋体" w:hAnsi="宋体" w:cs="宋体"/>
          <w:kern w:val="0"/>
          <w:sz w:val="24"/>
          <w:highlight w:val="none"/>
        </w:rPr>
        <w:t>风险揭示书、理财计划产品说明书、投资者权益须知</w:t>
      </w:r>
      <w:r>
        <w:rPr>
          <w:rFonts w:hint="eastAsia" w:ascii="宋体" w:hAnsi="宋体" w:cs="宋体"/>
          <w:kern w:val="0"/>
          <w:sz w:val="24"/>
          <w:highlight w:val="none"/>
          <w:lang w:eastAsia="zh-CN"/>
        </w:rPr>
        <w:t>、</w:t>
      </w:r>
      <w:r>
        <w:rPr>
          <w:rFonts w:hint="eastAsia" w:ascii="宋体" w:hAnsi="宋体" w:cs="宋体"/>
          <w:kern w:val="0"/>
          <w:sz w:val="24"/>
          <w:highlight w:val="none"/>
        </w:rPr>
        <w:t>理财计划投资协议书</w:t>
      </w:r>
      <w:r>
        <w:rPr>
          <w:rFonts w:hint="eastAsia" w:ascii="宋体" w:hAnsi="宋体" w:cs="宋体"/>
          <w:kern w:val="0"/>
          <w:sz w:val="24"/>
          <w:highlight w:val="none"/>
          <w:lang w:eastAsia="zh-CN"/>
        </w:rPr>
        <w:t>和理财计划（</w:t>
      </w:r>
      <w:r>
        <w:rPr>
          <w:rFonts w:hint="eastAsia" w:ascii="宋体" w:hAnsi="宋体" w:cs="宋体"/>
          <w:kern w:val="0"/>
          <w:sz w:val="24"/>
          <w:highlight w:val="none"/>
          <w:lang w:val="en-US" w:eastAsia="zh-CN"/>
        </w:rPr>
        <w:t>代理销售</w:t>
      </w:r>
      <w:r>
        <w:rPr>
          <w:rFonts w:hint="eastAsia" w:ascii="宋体" w:hAnsi="宋体" w:cs="宋体"/>
          <w:kern w:val="0"/>
          <w:sz w:val="24"/>
          <w:highlight w:val="none"/>
          <w:lang w:eastAsia="zh-CN"/>
        </w:rPr>
        <w:t>）销售协议书</w:t>
      </w:r>
      <w:r>
        <w:rPr>
          <w:rFonts w:hint="eastAsia" w:ascii="宋体" w:hAnsi="宋体" w:cs="宋体"/>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rPr>
        <w:t>如在银行营业场所购买杭银理财理财计划，销售机构需对每笔理财计划销售过程同步录音录像。</w:t>
      </w:r>
      <w:r>
        <w:rPr>
          <w:rFonts w:hint="eastAsia" w:ascii="宋体" w:hAnsi="宋体" w:cs="宋体"/>
          <w:kern w:val="0"/>
          <w:sz w:val="24"/>
          <w:highlight w:val="none"/>
          <w:lang w:val="en-US" w:eastAsia="zh-CN"/>
        </w:rPr>
        <w:t>在没有销售人员推介的情况下，投资者通过自助终端等电子设备进行自主购买的情况除外。</w:t>
      </w:r>
    </w:p>
    <w:p>
      <w:pPr>
        <w:numPr>
          <w:ilvl w:val="0"/>
          <w:numId w:val="2"/>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rPr>
        <w:t>投资者确定交易金额，完成交易申请，并在确认份额后进行查询。</w:t>
      </w:r>
    </w:p>
    <w:p>
      <w:pPr>
        <w:numPr>
          <w:ilvl w:val="0"/>
          <w:numId w:val="3"/>
        </w:numPr>
        <w:spacing w:line="360" w:lineRule="auto"/>
        <w:outlineLvl w:val="2"/>
        <w:rPr>
          <w:rFonts w:hint="eastAsia" w:ascii="宋体" w:hAnsi="宋体" w:cs="宋体"/>
          <w:b/>
          <w:kern w:val="0"/>
          <w:sz w:val="24"/>
          <w:highlight w:val="none"/>
        </w:rPr>
      </w:pPr>
      <w:r>
        <w:rPr>
          <w:rFonts w:hint="eastAsia" w:ascii="宋体" w:hAnsi="宋体" w:cs="宋体"/>
          <w:b/>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kern w:val="0"/>
                <w:sz w:val="24"/>
                <w:highlight w:val="none"/>
              </w:rPr>
              <w:t>机构投资者及保守型、稳健型、平衡型、成长型、进取型的个人投资者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kern w:val="0"/>
                <w:sz w:val="24"/>
                <w:highlight w:val="none"/>
              </w:rPr>
              <w:t>机构投资者及稳健型、平衡型、成长型、进取型的个人投资者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kern w:val="0"/>
                <w:sz w:val="24"/>
                <w:highlight w:val="none"/>
              </w:rPr>
              <w:t>机构投资者及平衡型、成长型、进取型的个人投资者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kern w:val="0"/>
                <w:sz w:val="24"/>
                <w:highlight w:val="none"/>
              </w:rPr>
              <w:t>机构投资者及成长型、进取型的个人投资者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kern w:val="0"/>
                <w:sz w:val="24"/>
                <w:highlight w:val="none"/>
              </w:rPr>
              <w:t>机构投资者及进取型的个人投资者</w:t>
            </w:r>
          </w:p>
        </w:tc>
      </w:tr>
    </w:tbl>
    <w:p>
      <w:pPr>
        <w:pStyle w:val="20"/>
        <w:adjustRightInd/>
        <w:spacing w:line="360" w:lineRule="auto"/>
        <w:ind w:firstLine="480" w:firstLineChars="200"/>
        <w:rPr>
          <w:rFonts w:hint="default" w:ascii="宋体" w:hAnsi="宋体" w:eastAsia="宋体" w:cs="宋体"/>
          <w:b/>
          <w:kern w:val="0"/>
          <w:sz w:val="24"/>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numPr>
          <w:ilvl w:val="0"/>
          <w:numId w:val="4"/>
        </w:numPr>
        <w:spacing w:line="360" w:lineRule="auto"/>
        <w:outlineLvl w:val="2"/>
        <w:rPr>
          <w:rFonts w:hint="eastAsia" w:ascii="宋体" w:hAnsi="宋体" w:cs="宋体"/>
          <w:b/>
          <w:kern w:val="0"/>
          <w:sz w:val="24"/>
          <w:highlight w:val="none"/>
        </w:rPr>
      </w:pPr>
      <w:r>
        <w:rPr>
          <w:rFonts w:hint="eastAsia" w:ascii="宋体" w:hAnsi="宋体" w:cs="宋体"/>
          <w:b/>
          <w:kern w:val="0"/>
          <w:sz w:val="24"/>
          <w:highlight w:val="none"/>
        </w:rPr>
        <w:t>投资者风险承受能力评估</w:t>
      </w:r>
    </w:p>
    <w:p>
      <w:pPr>
        <w:numPr>
          <w:ilvl w:val="0"/>
          <w:numId w:val="5"/>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rPr>
        <w:t>本理财计划销售工作及投资者适当性评估由销售机构负责。个人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rPr>
        <w:t>个人投资者风险承受能力评估结果有效期为一年，如风险承受能力评估时效已超过一年，或影响风险承受能力的因素发生变化，请及时完成风险承受能力的重新评估。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rPr>
        <w:t>个人投资者风险承受能力评估流程（详询销售机构工作人员）</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个人投资者在销售机构进行风险承受能力评估；</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填写销售机构个人投资者风险承受能力测试问卷；</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生成相应的个人投资者风险承受能力评估结果；</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投资者对评估结果进行确认。</w:t>
      </w:r>
    </w:p>
    <w:p>
      <w:pPr>
        <w:numPr>
          <w:ilvl w:val="0"/>
          <w:numId w:val="7"/>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rPr>
        <w:t>风险承受能力评估结果将作为评价个人投资者是否适合购买理财计划的重要因素，风险承受能力评级越高适合购买的理财计划风险评级越高，适合购买的理财计划类型越丰富。</w:t>
      </w:r>
    </w:p>
    <w:p>
      <w:pPr>
        <w:numPr>
          <w:ilvl w:val="0"/>
          <w:numId w:val="7"/>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个人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rPr>
        <w:t>机构投资者购买理财计划前无须进行风险评估能力测试。机构投资者不适用个人投资者的风险承受能力评估，请机构投资者根据自身财务状况、投资风格、资金需求等要素，并在阅读本权益须知、</w:t>
      </w:r>
      <w:r>
        <w:rPr>
          <w:rFonts w:hint="eastAsia" w:ascii="宋体" w:hAnsi="宋体" w:cs="宋体"/>
          <w:kern w:val="0"/>
          <w:sz w:val="24"/>
          <w:highlight w:val="none"/>
          <w:lang w:eastAsia="zh-CN"/>
        </w:rPr>
        <w:t>理财计划风险揭示书、理财计划</w:t>
      </w:r>
      <w:r>
        <w:rPr>
          <w:rFonts w:hint="eastAsia" w:ascii="宋体" w:hAnsi="宋体" w:cs="宋体"/>
          <w:kern w:val="0"/>
          <w:sz w:val="24"/>
          <w:highlight w:val="none"/>
        </w:rPr>
        <w:t>产品说明书</w:t>
      </w:r>
      <w:r>
        <w:rPr>
          <w:rFonts w:hint="eastAsia" w:ascii="宋体" w:hAnsi="宋体" w:cs="宋体"/>
          <w:kern w:val="0"/>
          <w:sz w:val="24"/>
          <w:highlight w:val="none"/>
          <w:lang w:eastAsia="zh-CN"/>
        </w:rPr>
        <w:t>、理财计划投资协议书和理财计划销售协议书</w:t>
      </w:r>
      <w:r>
        <w:rPr>
          <w:rFonts w:hint="eastAsia" w:ascii="宋体" w:hAnsi="宋体" w:cs="宋体"/>
          <w:kern w:val="0"/>
          <w:sz w:val="24"/>
          <w:highlight w:val="none"/>
        </w:rPr>
        <w:t>的基础上，充分认识投资本理财计划需要承担的风险。</w:t>
      </w:r>
      <w:r>
        <w:rPr>
          <w:rFonts w:hint="eastAsia" w:ascii="宋体" w:hAnsi="宋体" w:cs="宋体"/>
          <w:kern w:val="0"/>
          <w:sz w:val="24"/>
          <w:highlight w:val="none"/>
          <w:lang w:val="en-US" w:eastAsia="zh-CN"/>
        </w:rPr>
        <w:t>如销售机构对于机构投资者的风险承受能力评估有要求的，则参照销售机构相关评估标准或代理销售协议书执行。</w:t>
      </w:r>
    </w:p>
    <w:p>
      <w:pPr>
        <w:spacing w:line="360" w:lineRule="auto"/>
        <w:ind w:firstLine="482" w:firstLineChars="200"/>
        <w:outlineLvl w:val="2"/>
        <w:rPr>
          <w:rFonts w:hint="eastAsia" w:ascii="宋体" w:hAnsi="宋体" w:cs="宋体"/>
          <w:b/>
          <w:kern w:val="0"/>
          <w:sz w:val="24"/>
          <w:highlight w:val="none"/>
        </w:rPr>
      </w:pPr>
      <w:r>
        <w:rPr>
          <w:rFonts w:hint="eastAsia" w:ascii="宋体" w:hAnsi="宋体" w:cs="宋体"/>
          <w:b/>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视为通知送达，请您及时查询。</w:t>
      </w:r>
    </w:p>
    <w:p>
      <w:pPr>
        <w:spacing w:line="360" w:lineRule="auto"/>
        <w:ind w:firstLine="482" w:firstLineChars="200"/>
        <w:outlineLvl w:val="2"/>
        <w:rPr>
          <w:rFonts w:hint="eastAsia" w:ascii="宋体" w:hAnsi="宋体" w:cs="宋体"/>
          <w:b/>
          <w:kern w:val="0"/>
          <w:sz w:val="24"/>
          <w:highlight w:val="none"/>
        </w:rPr>
      </w:pPr>
      <w:r>
        <w:rPr>
          <w:rFonts w:hint="eastAsia" w:ascii="宋体" w:hAnsi="宋体" w:cs="宋体"/>
          <w:b/>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销售机构应当根据反洗钱、反恐怖融资及非居民金融账户涉税信息尽职调查等相关法律法规要求识别客户身份。投资者通过公司认可的销售机构购买本公司理财的，视为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2"/>
        <w:rPr>
          <w:rFonts w:hint="eastAsia" w:ascii="宋体" w:hAnsi="宋体" w:cs="宋体"/>
          <w:b/>
          <w:kern w:val="0"/>
          <w:sz w:val="24"/>
          <w:highlight w:val="none"/>
        </w:rPr>
      </w:pPr>
      <w:r>
        <w:rPr>
          <w:rFonts w:hint="eastAsia" w:ascii="宋体" w:hAnsi="宋体" w:cs="宋体"/>
          <w:b/>
          <w:kern w:val="0"/>
          <w:sz w:val="24"/>
          <w:highlight w:val="none"/>
        </w:rPr>
        <w:t>六、投诉与建议</w:t>
      </w:r>
    </w:p>
    <w:p>
      <w:pPr>
        <w:numPr>
          <w:ilvl w:val="0"/>
          <w:numId w:val="8"/>
        </w:numPr>
        <w:spacing w:line="360" w:lineRule="auto"/>
        <w:outlineLvl w:val="9"/>
        <w:rPr>
          <w:rFonts w:hint="eastAsia" w:ascii="宋体" w:hAnsi="宋体" w:cs="宋体"/>
          <w:kern w:val="0"/>
          <w:sz w:val="24"/>
          <w:highlight w:val="none"/>
        </w:rPr>
      </w:pPr>
      <w:r>
        <w:rPr>
          <w:rFonts w:hint="eastAsia" w:ascii="宋体" w:hAnsi="宋体" w:cs="宋体"/>
          <w:kern w:val="0"/>
          <w:sz w:val="24"/>
          <w:highlight w:val="none"/>
        </w:rPr>
        <w:t>投资者如认为理财</w:t>
      </w:r>
      <w:r>
        <w:rPr>
          <w:rFonts w:hint="eastAsia" w:ascii="宋体" w:hAnsi="宋体" w:cs="宋体"/>
          <w:kern w:val="0"/>
          <w:sz w:val="24"/>
          <w:highlight w:val="none"/>
          <w:lang w:val="en-US" w:eastAsia="zh-CN"/>
        </w:rPr>
        <w:t>计划</w:t>
      </w:r>
      <w:r>
        <w:rPr>
          <w:rFonts w:hint="eastAsia" w:ascii="宋体" w:hAnsi="宋体" w:cs="宋体"/>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kern w:val="0"/>
          <w:sz w:val="24"/>
          <w:highlight w:val="none"/>
          <w:lang w:val="en-US" w:eastAsia="zh-CN"/>
        </w:rPr>
        <w:t>或管理人</w:t>
      </w:r>
      <w:r>
        <w:rPr>
          <w:rFonts w:hint="eastAsia" w:ascii="宋体" w:hAnsi="宋体" w:cs="宋体"/>
          <w:kern w:val="0"/>
          <w:sz w:val="24"/>
          <w:highlight w:val="none"/>
        </w:rPr>
        <w:t>热线或客服电话进行反馈</w:t>
      </w:r>
      <w:r>
        <w:rPr>
          <w:rFonts w:hint="eastAsia" w:ascii="宋体" w:hAnsi="宋体" w:cs="宋体"/>
          <w:kern w:val="0"/>
          <w:sz w:val="24"/>
          <w:highlight w:val="none"/>
          <w:lang w:eastAsia="zh-CN"/>
        </w:rPr>
        <w:t>，</w:t>
      </w:r>
      <w:r>
        <w:rPr>
          <w:rFonts w:hint="eastAsia" w:ascii="宋体" w:hAnsi="宋体" w:cs="宋体"/>
          <w:kern w:val="0"/>
          <w:sz w:val="24"/>
          <w:highlight w:val="none"/>
        </w:rPr>
        <w:t>将由专人接听、记录您的意见建议，并由双方协商共同解决。</w:t>
      </w:r>
    </w:p>
    <w:p>
      <w:pPr>
        <w:numPr>
          <w:ilvl w:val="0"/>
          <w:numId w:val="8"/>
        </w:numPr>
        <w:spacing w:line="360" w:lineRule="auto"/>
        <w:outlineLvl w:val="2"/>
        <w:rPr>
          <w:rFonts w:hint="eastAsia" w:ascii="宋体" w:hAnsi="宋体" w:cs="宋体"/>
          <w:kern w:val="0"/>
          <w:sz w:val="24"/>
        </w:rPr>
      </w:pPr>
      <w:r>
        <w:rPr>
          <w:rFonts w:hint="eastAsia" w:ascii="宋体" w:hAnsi="宋体" w:cs="宋体"/>
          <w:kern w:val="0"/>
          <w:sz w:val="24"/>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jc w:val="left"/>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C1264E1"/>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065C"/>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8D12FC"/>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886464"/>
    <w:rsid w:val="59A3360E"/>
    <w:rsid w:val="5ADE2855"/>
    <w:rsid w:val="5B056CAE"/>
    <w:rsid w:val="5C664A4B"/>
    <w:rsid w:val="5CE67D31"/>
    <w:rsid w:val="5E0D21D4"/>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B3B5DB3"/>
    <w:rsid w:val="FBBE31BC"/>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39016</Words>
  <Characters>41574</Characters>
  <Lines>1</Lines>
  <Paragraphs>1</Paragraphs>
  <TotalTime>0</TotalTime>
  <ScaleCrop>false</ScaleCrop>
  <LinksUpToDate>false</LinksUpToDate>
  <CharactersWithSpaces>41921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2014-11-04T04:08:00Z</dcterms:created>
  <dc:creator>Administrator</dc:creator>
  <cp:lastModifiedBy>hccb</cp:lastModifiedBy>
  <dcterms:modified xsi:type="dcterms:W3CDTF">2025-12-03T06:28:17Z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